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RPr="004D5B02">
        <w:trPr>
          <w:jc w:val="center"/>
        </w:trPr>
        <w:tc>
          <w:tcPr>
            <w:tcW w:w="743" w:type="dxa"/>
          </w:tcPr>
          <w:p w:rsidR="002914D6" w:rsidRPr="003444A6" w:rsidRDefault="00011212">
            <w:pPr>
              <w:jc w:val="both"/>
              <w:rPr>
                <w:rFonts w:ascii="Arial" w:hAnsi="Arial"/>
                <w:b/>
                <w:bCs/>
                <w:sz w:val="26"/>
                <w:szCs w:val="26"/>
              </w:rPr>
            </w:pPr>
            <w:r w:rsidRPr="003444A6">
              <w:rPr>
                <w:rFonts w:ascii="Arial" w:hAnsi="Arial" w:hint="cs"/>
                <w:b/>
                <w:bCs/>
                <w:sz w:val="26"/>
                <w:szCs w:val="26"/>
                <w:rtl/>
              </w:rPr>
              <w:t>ב</w:t>
            </w:r>
            <w:r w:rsidRPr="003444A6">
              <w:rPr>
                <w:rFonts w:ascii="Arial" w:hAnsi="Arial"/>
                <w:b/>
                <w:bCs/>
                <w:sz w:val="26"/>
                <w:szCs w:val="26"/>
                <w:rtl/>
              </w:rPr>
              <w:t xml:space="preserve">פני </w:t>
            </w:r>
          </w:p>
        </w:tc>
        <w:tc>
          <w:tcPr>
            <w:tcW w:w="8077" w:type="dxa"/>
            <w:gridSpan w:val="2"/>
          </w:tcPr>
          <w:p w:rsidR="002914D6" w:rsidRPr="003444A6" w:rsidRDefault="00011212">
            <w:pPr>
              <w:rPr>
                <w:rFonts w:ascii="Arial" w:hAnsi="Arial"/>
                <w:b/>
                <w:bCs/>
                <w:sz w:val="26"/>
                <w:szCs w:val="26"/>
                <w:rtl/>
              </w:rPr>
            </w:pPr>
            <w:r w:rsidRPr="003444A6">
              <w:rPr>
                <w:rFonts w:ascii="Arial" w:hAnsi="Arial" w:hint="cs"/>
                <w:b/>
                <w:bCs/>
                <w:sz w:val="26"/>
                <w:szCs w:val="26"/>
                <w:rtl/>
              </w:rPr>
              <w:t>כב' ה</w:t>
            </w:r>
            <w:sdt>
              <w:sdtPr>
                <w:rPr>
                  <w:sz w:val="26"/>
                  <w:szCs w:val="26"/>
                  <w:rtl/>
                </w:rPr>
                <w:alias w:val="1574"/>
                <w:tag w:val="1574"/>
                <w:id w:val="490682261"/>
                <w:text w:multiLine="1"/>
              </w:sdtPr>
              <w:sdtEndPr/>
              <w:sdtContent>
                <w:r w:rsidRPr="003444A6">
                  <w:rPr>
                    <w:rFonts w:ascii="Arial" w:hAnsi="Arial"/>
                    <w:b/>
                    <w:bCs/>
                    <w:sz w:val="26"/>
                    <w:szCs w:val="26"/>
                    <w:rtl/>
                  </w:rPr>
                  <w:t>שופטת</w:t>
                </w:r>
              </w:sdtContent>
            </w:sdt>
            <w:r w:rsidRPr="003444A6">
              <w:rPr>
                <w:rFonts w:ascii="Arial" w:hAnsi="Arial" w:hint="cs"/>
                <w:b/>
                <w:bCs/>
                <w:sz w:val="26"/>
                <w:szCs w:val="26"/>
                <w:rtl/>
              </w:rPr>
              <w:t xml:space="preserve">  </w:t>
            </w:r>
            <w:sdt>
              <w:sdtPr>
                <w:rPr>
                  <w:sz w:val="26"/>
                  <w:szCs w:val="26"/>
                  <w:rtl/>
                </w:rPr>
                <w:alias w:val="1573"/>
                <w:tag w:val="1573"/>
                <w:id w:val="-1842311034"/>
                <w:text w:multiLine="1"/>
              </w:sdtPr>
              <w:sdtEndPr/>
              <w:sdtContent>
                <w:r w:rsidRPr="003444A6">
                  <w:rPr>
                    <w:rFonts w:ascii="Arial" w:hAnsi="Arial"/>
                    <w:b/>
                    <w:bCs/>
                    <w:sz w:val="26"/>
                    <w:szCs w:val="26"/>
                    <w:rtl/>
                  </w:rPr>
                  <w:t>תמר סנונית פורר</w:t>
                </w:r>
              </w:sdtContent>
            </w:sdt>
          </w:p>
          <w:p w:rsidR="002914D6" w:rsidRPr="003444A6" w:rsidRDefault="002914D6">
            <w:pPr>
              <w:rPr>
                <w:rFonts w:ascii="Arial" w:hAnsi="Arial" w:cs="FrankRuehl"/>
                <w:sz w:val="26"/>
                <w:szCs w:val="26"/>
                <w:highlight w:val="yellow"/>
              </w:rPr>
            </w:pPr>
          </w:p>
        </w:tc>
      </w:tr>
      <w:tr w:rsidR="002914D6" w:rsidRPr="004D5B02">
        <w:trPr>
          <w:jc w:val="center"/>
        </w:trPr>
        <w:tc>
          <w:tcPr>
            <w:tcW w:w="3249" w:type="dxa"/>
            <w:gridSpan w:val="2"/>
          </w:tcPr>
          <w:p w:rsidR="002914D6" w:rsidRPr="003444A6" w:rsidRDefault="004D5B02" w:rsidP="00BD5B6B">
            <w:pPr>
              <w:bidi w:val="0"/>
              <w:jc w:val="right"/>
              <w:rPr>
                <w:rFonts w:ascii="Arial" w:hAnsi="Arial"/>
                <w:b/>
                <w:bCs/>
                <w:noProof w:val="0"/>
                <w:sz w:val="26"/>
                <w:szCs w:val="26"/>
                <w:rtl/>
              </w:rPr>
            </w:pPr>
            <w:r w:rsidRPr="003444A6">
              <w:rPr>
                <w:rFonts w:ascii="Arial" w:hAnsi="Arial" w:hint="cs"/>
                <w:b/>
                <w:bCs/>
                <w:noProof w:val="0"/>
                <w:sz w:val="26"/>
                <w:szCs w:val="26"/>
                <w:u w:val="single"/>
                <w:rtl/>
              </w:rPr>
              <w:t>התובע</w:t>
            </w:r>
            <w:r w:rsidRPr="003444A6">
              <w:rPr>
                <w:rFonts w:ascii="Arial" w:hAnsi="Arial" w:hint="cs"/>
                <w:b/>
                <w:bCs/>
                <w:noProof w:val="0"/>
                <w:sz w:val="26"/>
                <w:szCs w:val="26"/>
                <w:rtl/>
              </w:rPr>
              <w:t>:</w:t>
            </w:r>
          </w:p>
        </w:tc>
        <w:tc>
          <w:tcPr>
            <w:tcW w:w="5571" w:type="dxa"/>
          </w:tcPr>
          <w:p w:rsidR="002914D6" w:rsidRPr="00852F6E" w:rsidRDefault="00FE0A12" w:rsidP="00FE0A12">
            <w:pPr>
              <w:rPr>
                <w:rStyle w:val="ac"/>
                <w:b/>
                <w:bCs/>
                <w:color w:val="auto"/>
                <w:sz w:val="26"/>
                <w:szCs w:val="26"/>
                <w:rtl/>
              </w:rPr>
            </w:pPr>
            <w:r w:rsidRPr="00852F6E">
              <w:rPr>
                <w:rStyle w:val="ac"/>
                <w:rFonts w:hint="cs"/>
                <w:b/>
                <w:bCs/>
                <w:color w:val="auto"/>
                <w:sz w:val="26"/>
                <w:szCs w:val="26"/>
                <w:rtl/>
              </w:rPr>
              <w:t>פלוני</w:t>
            </w:r>
            <w:r w:rsidR="00BD5B6B" w:rsidRPr="00852F6E">
              <w:rPr>
                <w:rFonts w:hint="cs"/>
                <w:b/>
                <w:bCs/>
                <w:noProof w:val="0"/>
                <w:sz w:val="26"/>
                <w:szCs w:val="26"/>
                <w:rtl/>
              </w:rPr>
              <w:t xml:space="preserve">, </w:t>
            </w:r>
            <w:r w:rsidR="00BD5B6B" w:rsidRPr="00852F6E">
              <w:rPr>
                <w:rStyle w:val="ac"/>
                <w:b/>
                <w:bCs/>
                <w:color w:val="auto"/>
                <w:sz w:val="26"/>
                <w:szCs w:val="26"/>
                <w:rtl/>
              </w:rPr>
              <w:t>ת"ז</w:t>
            </w:r>
            <w:r w:rsidR="00BD5B6B" w:rsidRPr="00852F6E">
              <w:rPr>
                <w:rFonts w:hint="cs"/>
                <w:b/>
                <w:bCs/>
                <w:noProof w:val="0"/>
                <w:sz w:val="26"/>
                <w:szCs w:val="26"/>
                <w:rtl/>
              </w:rPr>
              <w:t xml:space="preserve"> </w:t>
            </w:r>
          </w:p>
          <w:p w:rsidR="003B659A" w:rsidRPr="00852F6E" w:rsidRDefault="003B659A" w:rsidP="00BD5B6B">
            <w:pPr>
              <w:rPr>
                <w:b/>
                <w:bCs/>
                <w:noProof w:val="0"/>
                <w:sz w:val="26"/>
                <w:szCs w:val="26"/>
              </w:rPr>
            </w:pPr>
            <w:r w:rsidRPr="00852F6E">
              <w:rPr>
                <w:rFonts w:hint="cs"/>
                <w:b/>
                <w:bCs/>
                <w:noProof w:val="0"/>
                <w:sz w:val="26"/>
                <w:szCs w:val="26"/>
                <w:rtl/>
              </w:rPr>
              <w:t xml:space="preserve">ע"י ב"כ עו"ד </w:t>
            </w:r>
            <w:r w:rsidR="001F6E6B" w:rsidRPr="00852F6E">
              <w:rPr>
                <w:rFonts w:hint="cs"/>
                <w:b/>
                <w:bCs/>
                <w:noProof w:val="0"/>
                <w:sz w:val="26"/>
                <w:szCs w:val="26"/>
                <w:rtl/>
              </w:rPr>
              <w:t>רוזינר דהאן</w:t>
            </w:r>
          </w:p>
        </w:tc>
      </w:tr>
      <w:tr w:rsidR="002914D6" w:rsidRPr="004D5B02">
        <w:trPr>
          <w:jc w:val="center"/>
        </w:trPr>
        <w:tc>
          <w:tcPr>
            <w:tcW w:w="8820" w:type="dxa"/>
            <w:gridSpan w:val="3"/>
          </w:tcPr>
          <w:p w:rsidR="002914D6" w:rsidRPr="00852F6E" w:rsidRDefault="002914D6">
            <w:pPr>
              <w:rPr>
                <w:rFonts w:ascii="Arial" w:hAnsi="Arial"/>
                <w:b/>
                <w:bCs/>
                <w:noProof w:val="0"/>
                <w:sz w:val="26"/>
                <w:szCs w:val="26"/>
                <w:rtl/>
              </w:rPr>
            </w:pPr>
          </w:p>
          <w:p w:rsidR="002914D6" w:rsidRPr="00852F6E" w:rsidRDefault="00011212">
            <w:pPr>
              <w:jc w:val="center"/>
              <w:rPr>
                <w:rFonts w:ascii="Arial" w:hAnsi="Arial"/>
                <w:b/>
                <w:bCs/>
                <w:noProof w:val="0"/>
                <w:sz w:val="26"/>
                <w:szCs w:val="26"/>
                <w:rtl/>
              </w:rPr>
            </w:pPr>
            <w:r w:rsidRPr="00852F6E">
              <w:rPr>
                <w:rFonts w:ascii="Arial" w:hAnsi="Arial"/>
                <w:b/>
                <w:bCs/>
                <w:noProof w:val="0"/>
                <w:sz w:val="26"/>
                <w:szCs w:val="26"/>
                <w:rtl/>
              </w:rPr>
              <w:t>נגד</w:t>
            </w:r>
          </w:p>
          <w:p w:rsidR="002914D6" w:rsidRPr="00852F6E" w:rsidRDefault="002914D6">
            <w:pPr>
              <w:rPr>
                <w:rFonts w:ascii="Arial" w:hAnsi="Arial"/>
                <w:b/>
                <w:bCs/>
                <w:noProof w:val="0"/>
                <w:sz w:val="26"/>
                <w:szCs w:val="26"/>
              </w:rPr>
            </w:pPr>
          </w:p>
        </w:tc>
      </w:tr>
      <w:tr w:rsidR="003B659A" w:rsidRPr="004D5B02">
        <w:trPr>
          <w:jc w:val="center"/>
        </w:trPr>
        <w:tc>
          <w:tcPr>
            <w:tcW w:w="8820" w:type="dxa"/>
            <w:gridSpan w:val="3"/>
          </w:tcPr>
          <w:p w:rsidR="003B659A" w:rsidRPr="00852F6E" w:rsidRDefault="003B659A">
            <w:pPr>
              <w:rPr>
                <w:rFonts w:ascii="Arial" w:hAnsi="Arial"/>
                <w:b/>
                <w:bCs/>
                <w:noProof w:val="0"/>
                <w:sz w:val="26"/>
                <w:szCs w:val="26"/>
                <w:rtl/>
              </w:rPr>
            </w:pPr>
          </w:p>
        </w:tc>
      </w:tr>
      <w:tr w:rsidR="002914D6" w:rsidRPr="004D5B02">
        <w:trPr>
          <w:jc w:val="center"/>
        </w:trPr>
        <w:tc>
          <w:tcPr>
            <w:tcW w:w="3249" w:type="dxa"/>
            <w:gridSpan w:val="2"/>
          </w:tcPr>
          <w:p w:rsidR="002914D6" w:rsidRPr="00852F6E" w:rsidRDefault="004D5B02">
            <w:pPr>
              <w:rPr>
                <w:rFonts w:ascii="Arial" w:hAnsi="Arial"/>
                <w:b/>
                <w:bCs/>
                <w:noProof w:val="0"/>
                <w:sz w:val="26"/>
                <w:szCs w:val="26"/>
                <w:rtl/>
              </w:rPr>
            </w:pPr>
            <w:r w:rsidRPr="00852F6E">
              <w:rPr>
                <w:rFonts w:ascii="Arial" w:hAnsi="Arial" w:hint="cs"/>
                <w:b/>
                <w:bCs/>
                <w:noProof w:val="0"/>
                <w:sz w:val="26"/>
                <w:szCs w:val="26"/>
                <w:u w:val="single"/>
                <w:rtl/>
              </w:rPr>
              <w:t>הנתבעת</w:t>
            </w:r>
            <w:r w:rsidRPr="00852F6E">
              <w:rPr>
                <w:rFonts w:ascii="Arial" w:hAnsi="Arial" w:hint="cs"/>
                <w:b/>
                <w:bCs/>
                <w:noProof w:val="0"/>
                <w:sz w:val="26"/>
                <w:szCs w:val="26"/>
                <w:rtl/>
              </w:rPr>
              <w:t>:</w:t>
            </w:r>
          </w:p>
          <w:p w:rsidR="002914D6" w:rsidRPr="00852F6E" w:rsidRDefault="002914D6">
            <w:pPr>
              <w:rPr>
                <w:rFonts w:ascii="Arial" w:hAnsi="Arial"/>
                <w:b/>
                <w:bCs/>
                <w:noProof w:val="0"/>
                <w:sz w:val="26"/>
                <w:szCs w:val="26"/>
              </w:rPr>
            </w:pPr>
          </w:p>
        </w:tc>
        <w:tc>
          <w:tcPr>
            <w:tcW w:w="5571" w:type="dxa"/>
          </w:tcPr>
          <w:p w:rsidR="002914D6" w:rsidRPr="00852F6E" w:rsidRDefault="00FE0A12" w:rsidP="00FE0A12">
            <w:pPr>
              <w:rPr>
                <w:rStyle w:val="ac"/>
                <w:b/>
                <w:bCs/>
                <w:color w:val="auto"/>
                <w:sz w:val="26"/>
                <w:szCs w:val="26"/>
                <w:rtl/>
              </w:rPr>
            </w:pPr>
            <w:r w:rsidRPr="008A5941">
              <w:rPr>
                <w:rStyle w:val="ac"/>
                <w:rFonts w:hint="cs"/>
                <w:b/>
                <w:bCs/>
                <w:color w:val="auto"/>
                <w:sz w:val="26"/>
                <w:szCs w:val="26"/>
                <w:rtl/>
              </w:rPr>
              <w:t>אלמונית</w:t>
            </w:r>
            <w:r w:rsidR="00BD5B6B" w:rsidRPr="00852F6E">
              <w:rPr>
                <w:rFonts w:hint="cs"/>
                <w:b/>
                <w:bCs/>
                <w:noProof w:val="0"/>
                <w:sz w:val="26"/>
                <w:szCs w:val="26"/>
                <w:rtl/>
              </w:rPr>
              <w:t xml:space="preserve">, </w:t>
            </w:r>
            <w:r w:rsidR="00BD5B6B" w:rsidRPr="00852F6E">
              <w:rPr>
                <w:rStyle w:val="ac"/>
                <w:b/>
                <w:bCs/>
                <w:color w:val="auto"/>
                <w:sz w:val="26"/>
                <w:szCs w:val="26"/>
                <w:rtl/>
              </w:rPr>
              <w:t>ת"ז</w:t>
            </w:r>
            <w:r w:rsidR="00BD5B6B" w:rsidRPr="00852F6E">
              <w:rPr>
                <w:rFonts w:hint="cs"/>
                <w:b/>
                <w:bCs/>
                <w:noProof w:val="0"/>
                <w:sz w:val="26"/>
                <w:szCs w:val="26"/>
                <w:rtl/>
              </w:rPr>
              <w:t xml:space="preserve"> </w:t>
            </w:r>
            <w:r w:rsidR="00BD5B6B" w:rsidRPr="00852F6E">
              <w:rPr>
                <w:b/>
                <w:bCs/>
                <w:noProof w:val="0"/>
                <w:sz w:val="26"/>
                <w:szCs w:val="26"/>
                <w:rtl/>
              </w:rPr>
              <w:t xml:space="preserve"> </w:t>
            </w:r>
          </w:p>
          <w:p w:rsidR="003B659A" w:rsidRPr="00852F6E" w:rsidRDefault="003B659A" w:rsidP="00BD5B6B">
            <w:pPr>
              <w:rPr>
                <w:b/>
                <w:bCs/>
                <w:noProof w:val="0"/>
                <w:sz w:val="26"/>
                <w:szCs w:val="26"/>
                <w:rtl/>
              </w:rPr>
            </w:pPr>
            <w:r w:rsidRPr="00852F6E">
              <w:rPr>
                <w:rFonts w:hint="cs"/>
                <w:b/>
                <w:bCs/>
                <w:noProof w:val="0"/>
                <w:sz w:val="26"/>
                <w:szCs w:val="26"/>
                <w:rtl/>
              </w:rPr>
              <w:t xml:space="preserve">ע"י ב"כ עו"ד </w:t>
            </w:r>
            <w:r w:rsidR="001F6E6B" w:rsidRPr="00852F6E">
              <w:rPr>
                <w:rFonts w:hint="cs"/>
                <w:b/>
                <w:bCs/>
                <w:noProof w:val="0"/>
                <w:sz w:val="26"/>
                <w:szCs w:val="26"/>
                <w:rtl/>
              </w:rPr>
              <w:t>אייזנשטיין מטעם הסיוע המשפטי</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FE0A12" w:rsidRDefault="00FE0A12" w:rsidP="00FE0A12">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בפניי שתי תביעות אשר הוגשו על ידי התובע כנגד הנתבעת </w:t>
      </w:r>
      <w:r>
        <w:rPr>
          <w:rFonts w:ascii="David" w:hAnsi="David" w:cs="Times New Roman"/>
          <w:sz w:val="24"/>
          <w:szCs w:val="24"/>
          <w:rtl/>
        </w:rPr>
        <w:t>(</w:t>
      </w:r>
      <w:r>
        <w:rPr>
          <w:rFonts w:ascii="David" w:hAnsi="David" w:cs="David"/>
          <w:sz w:val="24"/>
          <w:szCs w:val="24"/>
          <w:rtl/>
          <w:lang w:bidi="he-IL"/>
        </w:rPr>
        <w:t>להלן</w:t>
      </w:r>
      <w:r>
        <w:rPr>
          <w:rFonts w:ascii="David" w:hAnsi="David" w:cs="Times New Roman"/>
          <w:sz w:val="24"/>
          <w:szCs w:val="24"/>
          <w:rtl/>
        </w:rPr>
        <w:t>: "</w:t>
      </w:r>
      <w:r>
        <w:rPr>
          <w:rFonts w:ascii="David" w:hAnsi="David" w:cs="David"/>
          <w:b/>
          <w:bCs/>
          <w:sz w:val="24"/>
          <w:szCs w:val="24"/>
          <w:rtl/>
          <w:lang w:bidi="he-IL"/>
        </w:rPr>
        <w:t>האב</w:t>
      </w:r>
      <w:r>
        <w:rPr>
          <w:rFonts w:ascii="David" w:hAnsi="David" w:cs="Times New Roman"/>
          <w:sz w:val="24"/>
          <w:szCs w:val="24"/>
          <w:rtl/>
        </w:rPr>
        <w:t xml:space="preserve">" </w:t>
      </w:r>
      <w:r>
        <w:rPr>
          <w:rFonts w:ascii="David" w:hAnsi="David" w:cs="David"/>
          <w:sz w:val="24"/>
          <w:szCs w:val="24"/>
          <w:rtl/>
          <w:lang w:bidi="he-IL"/>
        </w:rPr>
        <w:t xml:space="preserve">או </w:t>
      </w:r>
      <w:r>
        <w:rPr>
          <w:rFonts w:ascii="David" w:hAnsi="David" w:cs="Times New Roman"/>
          <w:sz w:val="24"/>
          <w:szCs w:val="24"/>
          <w:rtl/>
        </w:rPr>
        <w:t>"</w:t>
      </w:r>
      <w:r>
        <w:rPr>
          <w:rFonts w:ascii="David" w:hAnsi="David" w:cs="David"/>
          <w:b/>
          <w:bCs/>
          <w:sz w:val="24"/>
          <w:szCs w:val="24"/>
          <w:rtl/>
          <w:lang w:bidi="he-IL"/>
        </w:rPr>
        <w:t>האיש</w:t>
      </w:r>
      <w:r>
        <w:rPr>
          <w:rFonts w:ascii="David" w:hAnsi="David" w:cs="Times New Roman"/>
          <w:sz w:val="24"/>
          <w:szCs w:val="24"/>
          <w:rtl/>
        </w:rPr>
        <w:t>"</w:t>
      </w:r>
      <w:r>
        <w:rPr>
          <w:rFonts w:ascii="David" w:hAnsi="David" w:cs="David"/>
          <w:sz w:val="24"/>
          <w:szCs w:val="24"/>
          <w:rtl/>
          <w:lang w:bidi="he-IL"/>
        </w:rPr>
        <w:t>, להלן</w:t>
      </w:r>
      <w:r>
        <w:rPr>
          <w:rFonts w:ascii="David" w:hAnsi="David" w:cs="Times New Roman"/>
          <w:sz w:val="24"/>
          <w:szCs w:val="24"/>
          <w:rtl/>
        </w:rPr>
        <w:t>: "</w:t>
      </w:r>
      <w:r>
        <w:rPr>
          <w:rFonts w:ascii="David" w:hAnsi="David" w:cs="David"/>
          <w:b/>
          <w:bCs/>
          <w:sz w:val="24"/>
          <w:szCs w:val="24"/>
          <w:rtl/>
          <w:lang w:bidi="he-IL"/>
        </w:rPr>
        <w:t>האם</w:t>
      </w:r>
      <w:r>
        <w:rPr>
          <w:rFonts w:ascii="David" w:hAnsi="David" w:cs="Times New Roman"/>
          <w:sz w:val="24"/>
          <w:szCs w:val="24"/>
          <w:rtl/>
        </w:rPr>
        <w:t xml:space="preserve">" </w:t>
      </w:r>
      <w:r>
        <w:rPr>
          <w:rFonts w:ascii="David" w:hAnsi="David" w:cs="David"/>
          <w:sz w:val="24"/>
          <w:szCs w:val="24"/>
          <w:rtl/>
          <w:lang w:bidi="he-IL"/>
        </w:rPr>
        <w:t xml:space="preserve">או </w:t>
      </w:r>
      <w:r>
        <w:rPr>
          <w:rFonts w:ascii="David" w:hAnsi="David" w:cs="Times New Roman"/>
          <w:sz w:val="24"/>
          <w:szCs w:val="24"/>
          <w:rtl/>
        </w:rPr>
        <w:t>"</w:t>
      </w:r>
      <w:r>
        <w:rPr>
          <w:rFonts w:ascii="David" w:hAnsi="David" w:cs="David"/>
          <w:b/>
          <w:bCs/>
          <w:sz w:val="24"/>
          <w:szCs w:val="24"/>
          <w:rtl/>
          <w:lang w:bidi="he-IL"/>
        </w:rPr>
        <w:t>האישה</w:t>
      </w:r>
      <w:r>
        <w:rPr>
          <w:rFonts w:ascii="David" w:hAnsi="David" w:cs="Times New Roman"/>
          <w:sz w:val="24"/>
          <w:szCs w:val="24"/>
          <w:rtl/>
        </w:rPr>
        <w:t>")</w:t>
      </w:r>
      <w:r>
        <w:rPr>
          <w:rFonts w:ascii="David" w:hAnsi="David" w:cs="David"/>
          <w:sz w:val="24"/>
          <w:szCs w:val="24"/>
          <w:rtl/>
          <w:lang w:bidi="he-IL"/>
        </w:rPr>
        <w:t>:</w:t>
      </w:r>
    </w:p>
    <w:p w:rsidR="003B659A" w:rsidRDefault="003B659A" w:rsidP="003B659A">
      <w:pPr>
        <w:spacing w:line="360" w:lineRule="auto"/>
        <w:ind w:left="567"/>
        <w:jc w:val="both"/>
        <w:rPr>
          <w:rFonts w:ascii="David" w:hAnsi="David"/>
          <w:b/>
          <w:bCs/>
        </w:rPr>
      </w:pPr>
      <w:r>
        <w:rPr>
          <w:rFonts w:ascii="David" w:hAnsi="David"/>
          <w:b/>
          <w:bCs/>
          <w:rtl/>
        </w:rPr>
        <w:t>תמ"ש 70455-11-20 – תביעת האב לפסיקת מזונות ומדור הקטינות כנגד האם (להלן: "התביעה למזונות").</w:t>
      </w:r>
    </w:p>
    <w:p w:rsidR="003B659A" w:rsidRDefault="003B659A" w:rsidP="003B659A">
      <w:pPr>
        <w:spacing w:line="360" w:lineRule="auto"/>
        <w:ind w:left="567"/>
        <w:jc w:val="both"/>
        <w:rPr>
          <w:rFonts w:ascii="David" w:hAnsi="David"/>
          <w:b/>
          <w:bCs/>
          <w:rtl/>
        </w:rPr>
      </w:pPr>
      <w:r>
        <w:rPr>
          <w:rFonts w:ascii="David" w:hAnsi="David"/>
          <w:b/>
          <w:bCs/>
          <w:rtl/>
        </w:rPr>
        <w:t>תמ"ש 49718-03-21 – תביעת האב לפסק דין הצהרתי בדבר קביעת זכויותיו במקרקעין, אשר הוגשה נגד האם ונגד בנה מנישואיה הקודמים (להלן: "התביעה לסעד הצהרתי").</w:t>
      </w:r>
    </w:p>
    <w:p w:rsidR="003B659A" w:rsidRDefault="003B659A" w:rsidP="003B659A">
      <w:pPr>
        <w:pStyle w:val="af"/>
        <w:bidi/>
        <w:spacing w:after="0" w:line="360" w:lineRule="auto"/>
        <w:jc w:val="both"/>
        <w:rPr>
          <w:rFonts w:ascii="David" w:hAnsi="David" w:cs="David"/>
          <w:b/>
          <w:bCs/>
          <w:sz w:val="24"/>
          <w:szCs w:val="24"/>
          <w:rtl/>
          <w:lang w:bidi="he-IL"/>
        </w:rPr>
      </w:pPr>
    </w:p>
    <w:p w:rsidR="003B659A" w:rsidRDefault="003B659A" w:rsidP="003B659A">
      <w:pPr>
        <w:spacing w:line="360" w:lineRule="auto"/>
        <w:jc w:val="both"/>
        <w:rPr>
          <w:rFonts w:ascii="David" w:hAnsi="David"/>
          <w:b/>
          <w:bCs/>
          <w:sz w:val="28"/>
          <w:szCs w:val="28"/>
          <w:u w:val="single"/>
          <w:rtl/>
        </w:rPr>
      </w:pPr>
      <w:r>
        <w:rPr>
          <w:rFonts w:ascii="David" w:hAnsi="David"/>
          <w:b/>
          <w:bCs/>
          <w:sz w:val="28"/>
          <w:szCs w:val="28"/>
          <w:u w:val="single"/>
          <w:rtl/>
        </w:rPr>
        <w:t>רקע עובדתי וההליכים המשפטיים</w:t>
      </w:r>
    </w:p>
    <w:p w:rsidR="003B659A" w:rsidRDefault="003B659A" w:rsidP="003B659A">
      <w:pPr>
        <w:spacing w:line="360" w:lineRule="auto"/>
        <w:jc w:val="both"/>
        <w:rPr>
          <w:rFonts w:ascii="David" w:hAnsi="David"/>
          <w:b/>
          <w:bCs/>
          <w:sz w:val="28"/>
          <w:szCs w:val="28"/>
          <w:u w:val="single"/>
          <w:rt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הצדדים נישאו ביום 28.7.2003, ומנישואיהם נולדו שתי בנות משותפות (להלן: "</w:t>
      </w:r>
      <w:r>
        <w:rPr>
          <w:rFonts w:ascii="David" w:hAnsi="David" w:cs="David"/>
          <w:b/>
          <w:bCs/>
          <w:sz w:val="24"/>
          <w:szCs w:val="24"/>
          <w:rtl/>
          <w:lang w:bidi="he-IL"/>
        </w:rPr>
        <w:t>הבנות</w:t>
      </w:r>
      <w:r>
        <w:rPr>
          <w:rFonts w:ascii="David" w:hAnsi="David" w:cs="David"/>
          <w:sz w:val="24"/>
          <w:szCs w:val="24"/>
          <w:rtl/>
          <w:lang w:bidi="he-IL"/>
        </w:rPr>
        <w:t>"):</w:t>
      </w:r>
    </w:p>
    <w:p w:rsidR="003B659A" w:rsidRDefault="00FE0A12" w:rsidP="00FE0A12">
      <w:pPr>
        <w:spacing w:line="360" w:lineRule="auto"/>
        <w:ind w:firstLine="567"/>
        <w:jc w:val="both"/>
        <w:rPr>
          <w:rFonts w:ascii="David" w:hAnsi="David"/>
        </w:rPr>
      </w:pPr>
      <w:r>
        <w:rPr>
          <w:rFonts w:ascii="David" w:hAnsi="David" w:hint="cs"/>
        </w:rPr>
        <w:t>XXX</w:t>
      </w:r>
      <w:r>
        <w:rPr>
          <w:rFonts w:ascii="David" w:hAnsi="David"/>
          <w:rtl/>
        </w:rPr>
        <w:t xml:space="preserve"> </w:t>
      </w:r>
      <w:r w:rsidR="003B659A">
        <w:rPr>
          <w:rFonts w:ascii="David" w:hAnsi="David"/>
          <w:rtl/>
        </w:rPr>
        <w:t>ילידת 2004, בת 18.</w:t>
      </w:r>
    </w:p>
    <w:p w:rsidR="003B659A" w:rsidRDefault="00FE0A12" w:rsidP="00FE0A12">
      <w:pPr>
        <w:spacing w:line="360" w:lineRule="auto"/>
        <w:ind w:firstLine="567"/>
        <w:jc w:val="both"/>
        <w:rPr>
          <w:rFonts w:ascii="David" w:hAnsi="David"/>
          <w:rtl/>
        </w:rPr>
      </w:pPr>
      <w:r>
        <w:rPr>
          <w:rFonts w:ascii="David" w:hAnsi="David" w:hint="cs"/>
        </w:rPr>
        <w:t>XXX</w:t>
      </w:r>
      <w:r>
        <w:rPr>
          <w:rFonts w:ascii="David" w:hAnsi="David"/>
          <w:rtl/>
        </w:rPr>
        <w:t xml:space="preserve"> </w:t>
      </w:r>
      <w:r w:rsidR="003B659A">
        <w:rPr>
          <w:rFonts w:ascii="David" w:hAnsi="David"/>
          <w:rtl/>
        </w:rPr>
        <w:t>ילידת 2009, בת 13.</w:t>
      </w:r>
    </w:p>
    <w:p w:rsidR="003B659A" w:rsidRDefault="003B659A" w:rsidP="00FE0A12">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 xml:space="preserve">האם נישאה בשנית לאב, ולה שני ילדים מנישואיה הקודמים – </w:t>
      </w:r>
      <w:r w:rsidR="00FE0A12">
        <w:rPr>
          <w:rFonts w:ascii="David" w:hAnsi="David" w:cs="David" w:hint="cs"/>
          <w:sz w:val="24"/>
          <w:szCs w:val="24"/>
          <w:lang w:bidi="he-IL"/>
        </w:rPr>
        <w:t>XXX</w:t>
      </w:r>
      <w:r w:rsidR="00FE0A12">
        <w:rPr>
          <w:rFonts w:ascii="David" w:hAnsi="David" w:cs="David"/>
          <w:sz w:val="24"/>
          <w:szCs w:val="24"/>
          <w:rtl/>
          <w:lang w:bidi="he-IL"/>
        </w:rPr>
        <w:t xml:space="preserve"> </w:t>
      </w:r>
      <w:r>
        <w:rPr>
          <w:rFonts w:ascii="David" w:hAnsi="David" w:cs="David"/>
          <w:sz w:val="24"/>
          <w:szCs w:val="24"/>
          <w:rtl/>
          <w:lang w:bidi="he-IL"/>
        </w:rPr>
        <w:t xml:space="preserve">הבן, </w:t>
      </w:r>
      <w:r w:rsidR="00FE0A12">
        <w:rPr>
          <w:rFonts w:ascii="David" w:hAnsi="David" w:cs="David"/>
          <w:sz w:val="24"/>
          <w:szCs w:val="24"/>
          <w:rtl/>
          <w:lang w:bidi="he-IL"/>
        </w:rPr>
        <w:t>ו</w:t>
      </w:r>
      <w:r w:rsidR="00FE0A12">
        <w:rPr>
          <w:rFonts w:ascii="David" w:hAnsi="David" w:cs="David" w:hint="cs"/>
          <w:sz w:val="24"/>
          <w:szCs w:val="24"/>
          <w:lang w:bidi="he-IL"/>
        </w:rPr>
        <w:t>XXX</w:t>
      </w:r>
      <w:r w:rsidR="00FE0A12">
        <w:rPr>
          <w:rFonts w:ascii="David" w:hAnsi="David" w:cs="David"/>
          <w:sz w:val="24"/>
          <w:szCs w:val="24"/>
          <w:rtl/>
          <w:lang w:bidi="he-IL"/>
        </w:rPr>
        <w:t xml:space="preserve"> </w:t>
      </w:r>
      <w:r>
        <w:rPr>
          <w:rFonts w:ascii="David" w:hAnsi="David" w:cs="David"/>
          <w:sz w:val="24"/>
          <w:szCs w:val="24"/>
          <w:rtl/>
          <w:lang w:bidi="he-IL"/>
        </w:rPr>
        <w:t xml:space="preserve">הבת. עבור האב אלו נישואיו הראשונים. בנה של האם, מר </w:t>
      </w:r>
      <w:r w:rsidR="00FE0A12">
        <w:rPr>
          <w:rFonts w:ascii="David" w:hAnsi="David" w:cs="David" w:hint="cs"/>
          <w:sz w:val="24"/>
          <w:szCs w:val="24"/>
          <w:lang w:bidi="he-IL"/>
        </w:rPr>
        <w:t>XXX</w:t>
      </w:r>
      <w:r>
        <w:rPr>
          <w:rFonts w:ascii="David" w:hAnsi="David" w:cs="David"/>
          <w:sz w:val="24"/>
          <w:szCs w:val="24"/>
          <w:rtl/>
          <w:lang w:bidi="he-IL"/>
        </w:rPr>
        <w:t>, הוא הנתבע 1 בתביעה לסעד הצהרתי (להלן: "</w:t>
      </w:r>
      <w:r>
        <w:rPr>
          <w:rFonts w:ascii="David" w:hAnsi="David" w:cs="David"/>
          <w:b/>
          <w:bCs/>
          <w:sz w:val="24"/>
          <w:szCs w:val="24"/>
          <w:rtl/>
          <w:lang w:bidi="he-IL"/>
        </w:rPr>
        <w:t>הבן</w:t>
      </w:r>
      <w:r>
        <w:rPr>
          <w:rFonts w:ascii="David" w:hAnsi="David" w:cs="David"/>
          <w:sz w:val="24"/>
          <w:szCs w:val="24"/>
          <w:rtl/>
          <w:lang w:bidi="he-IL"/>
        </w:rPr>
        <w:t>").</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הצדדים מתגוררים בנפרד החל מחודש 3/2020, והחל ממועד זה הבנות מתגוררות עם האב וחיות כמעט ורק בחזקתו. הבנות מנהלות קשר חלקי ביותר עם האם.</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האב עותר לחיובה של האם במזונות החל מחודש אפריל 2020, עת הצדדים כבר לא התגוררו יחד.</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ביום 6.2.2020, הגישה האם נגד האב תביעה מצידה ולמזונות ומדור עבור הבנות, במסגרת תלה"מ 17320-02-20 (להלן: "</w:t>
      </w:r>
      <w:r>
        <w:rPr>
          <w:rFonts w:ascii="David" w:hAnsi="David" w:cs="David"/>
          <w:b/>
          <w:bCs/>
          <w:sz w:val="24"/>
          <w:szCs w:val="24"/>
          <w:rtl/>
          <w:lang w:bidi="he-IL"/>
        </w:rPr>
        <w:t>תביעת האם למזונות</w:t>
      </w:r>
      <w:r>
        <w:rPr>
          <w:rFonts w:ascii="David" w:hAnsi="David" w:cs="David"/>
          <w:sz w:val="24"/>
          <w:szCs w:val="24"/>
          <w:rtl/>
          <w:lang w:bidi="he-IL"/>
        </w:rPr>
        <w:t>"), וכן תביעת משמורת במסגרת תלה"מ 39533-01-20. כמו כן, האב הגיש, מעבר לתביעות שבהן עסקינן, תביעה להפרדה רכושית בין הצדדים במסגרת תמ"ש 49808-03-21.</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לאחר שהוגשו תביעות אלה, ולאור המצב המשפחתי המורכב, ביום 10.1.2021 קבעתי כי לאור הסכמות הצדדים, הבנות יטופלו במכון טריאסט שריג לאור מצבן הנפשי. עוד קבעתי כי במסגרת הזו הבנות גם תטופלנה יחד עם האם במטרה לטפל ולחדש את הקשר ביניהן.</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ביום 19.9.2021 התקיים בפניי קדם משפט בכל ענייני הצדדים. </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ביום 21.10.2021 ניתנה על ידי החלטה, כדלקמן: </w:t>
      </w:r>
    </w:p>
    <w:p w:rsidR="003B659A" w:rsidRDefault="003B659A" w:rsidP="003B659A">
      <w:pPr>
        <w:pStyle w:val="af"/>
        <w:numPr>
          <w:ilvl w:val="0"/>
          <w:numId w:val="2"/>
        </w:numPr>
        <w:bidi/>
        <w:spacing w:after="0" w:line="360" w:lineRule="auto"/>
        <w:jc w:val="both"/>
        <w:rPr>
          <w:rFonts w:ascii="David" w:hAnsi="David" w:cs="David"/>
          <w:sz w:val="24"/>
          <w:szCs w:val="24"/>
          <w:rtl/>
          <w:lang w:bidi="he-IL"/>
        </w:rPr>
      </w:pPr>
      <w:r>
        <w:rPr>
          <w:rFonts w:ascii="David" w:hAnsi="David" w:cs="David"/>
          <w:sz w:val="24"/>
          <w:szCs w:val="24"/>
          <w:rtl/>
          <w:lang w:bidi="he-IL"/>
        </w:rPr>
        <w:t>באשר לתביעת האם למשמורת: מאחר שהאם החליטה להפסיק לקחת חלק בהליך הטיפולי לצד הבנות, הריי שתביעתה למשמורת – נסגרה.</w:t>
      </w:r>
    </w:p>
    <w:p w:rsidR="003B659A" w:rsidRDefault="003B659A" w:rsidP="003B659A">
      <w:pPr>
        <w:pStyle w:val="af"/>
        <w:numPr>
          <w:ilvl w:val="0"/>
          <w:numId w:val="2"/>
        </w:numPr>
        <w:bidi/>
        <w:spacing w:after="0" w:line="360" w:lineRule="auto"/>
        <w:jc w:val="both"/>
        <w:rPr>
          <w:rFonts w:ascii="David" w:hAnsi="David" w:cs="David"/>
          <w:sz w:val="24"/>
          <w:szCs w:val="24"/>
          <w:lang w:bidi="he-IL"/>
        </w:rPr>
      </w:pPr>
      <w:r>
        <w:rPr>
          <w:rFonts w:ascii="David" w:hAnsi="David" w:cs="David"/>
          <w:sz w:val="24"/>
          <w:szCs w:val="24"/>
          <w:rtl/>
          <w:lang w:bidi="he-IL"/>
        </w:rPr>
        <w:t>באשר לתביעת האם למזונות ומדור הבנות: נקבע כי יש למחוק את התביעה, הן מאחר שישנה תביעה תלויה ועומדת שהגיש האב באותו נושא, והן מאחר שבאותה העת (ועד היום) הבנות אינן שוהות אצל האם.</w:t>
      </w:r>
    </w:p>
    <w:p w:rsidR="003B659A" w:rsidRDefault="003B659A" w:rsidP="003B659A">
      <w:pPr>
        <w:pStyle w:val="af"/>
        <w:numPr>
          <w:ilvl w:val="0"/>
          <w:numId w:val="2"/>
        </w:numPr>
        <w:bidi/>
        <w:spacing w:after="0" w:line="360" w:lineRule="auto"/>
        <w:jc w:val="both"/>
        <w:rPr>
          <w:rFonts w:ascii="David" w:hAnsi="David" w:cs="David"/>
          <w:sz w:val="24"/>
          <w:szCs w:val="24"/>
          <w:lang w:bidi="he-IL"/>
        </w:rPr>
      </w:pPr>
      <w:r>
        <w:rPr>
          <w:rFonts w:ascii="David" w:hAnsi="David" w:cs="David"/>
          <w:sz w:val="24"/>
          <w:szCs w:val="24"/>
          <w:rtl/>
          <w:lang w:bidi="he-IL"/>
        </w:rPr>
        <w:t>באשר לתביעת האב להפרדה רכושית: נקבע כי מאחר שבין הצדדים התנהלו גם הליכים בביה"ד הרבני, בנושאי מזונות אישה והפרדה רכושית בין הצדדים, יש לדחות את התביעה שהגיש האב בנושא ההפרדה הרכושית בין הצדדים שכן ביה"ד הרבני רכש סמכות ראשונה לדון בעניין זה.</w:t>
      </w:r>
    </w:p>
    <w:p w:rsidR="003B659A" w:rsidRDefault="003B659A" w:rsidP="003B659A">
      <w:pPr>
        <w:pStyle w:val="af"/>
        <w:numPr>
          <w:ilvl w:val="0"/>
          <w:numId w:val="2"/>
        </w:numPr>
        <w:bidi/>
        <w:spacing w:after="0" w:line="360" w:lineRule="auto"/>
        <w:jc w:val="both"/>
        <w:rPr>
          <w:rFonts w:ascii="David" w:hAnsi="David" w:cs="David"/>
          <w:sz w:val="24"/>
          <w:szCs w:val="24"/>
          <w:lang w:bidi="he-IL"/>
        </w:rPr>
      </w:pPr>
      <w:r>
        <w:rPr>
          <w:rFonts w:ascii="David" w:hAnsi="David" w:cs="David"/>
          <w:sz w:val="24"/>
          <w:szCs w:val="24"/>
          <w:rtl/>
          <w:lang w:bidi="he-IL"/>
        </w:rPr>
        <w:t>בכל הנוגע לתביעות בהן עסקינן – נקבע כי הן יידונו במאוחד. בכל הנוגע למזונות הזמניים – דחיתי כל בקשה של מי מהצדדים למזונות זמניים שוטפים. עם זאת, קבעתי כי הצדדים יישאו בחלקים שווים בכל הוצאות החינוך של הבנות וכן יישאו בחלקים שווים בכל ההוצאות הרפואיות החריגות שאינן מכוסות במסגרת ביטוח הבריאות הממלכתי, לרבות הטיפול הרגשי של שתי הבנות.</w:t>
      </w:r>
    </w:p>
    <w:p w:rsidR="003B659A" w:rsidRDefault="003B659A" w:rsidP="003B659A">
      <w:pPr>
        <w:pStyle w:val="af"/>
        <w:bidi/>
        <w:spacing w:after="0" w:line="360" w:lineRule="auto"/>
        <w:ind w:left="1080"/>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האם מקיימת קשר חלקי ביותר עם הבנות כיום. היא כואבת את המצב מאוד. </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eastAsia="Times New Roman" w:hAnsi="David" w:cs="David"/>
          <w:sz w:val="24"/>
          <w:szCs w:val="24"/>
          <w:rtl/>
          <w:lang w:bidi="he-IL"/>
        </w:rPr>
        <w:t>בתיקים התקיימו 2 דיונים, מתוכם דיון הוכחות אחד וב"כ הצדדים סיכמו בכתב. בהתאם לכך, ניתנים כעת פסקי הדין בתביעת המזונות ובתביעה לפסק דין הצהרתי.</w:t>
      </w:r>
    </w:p>
    <w:p w:rsidR="003B659A" w:rsidRDefault="003B659A" w:rsidP="003B659A">
      <w:pPr>
        <w:pStyle w:val="af"/>
        <w:rPr>
          <w:rFonts w:ascii="David" w:hAnsi="David" w:cs="David"/>
          <w:sz w:val="24"/>
          <w:szCs w:val="24"/>
          <w:lang w:bidi="he-IL"/>
        </w:rPr>
      </w:pPr>
    </w:p>
    <w:p w:rsidR="003B659A" w:rsidRDefault="003B659A" w:rsidP="003B659A">
      <w:pPr>
        <w:pStyle w:val="af"/>
        <w:bidi/>
        <w:spacing w:after="0" w:line="360" w:lineRule="auto"/>
        <w:ind w:left="567"/>
        <w:jc w:val="both"/>
        <w:rPr>
          <w:rFonts w:ascii="David" w:hAnsi="David" w:cs="David"/>
          <w:sz w:val="24"/>
          <w:szCs w:val="24"/>
          <w:rtl/>
          <w:lang w:bidi="he-IL"/>
        </w:rPr>
      </w:pPr>
    </w:p>
    <w:p w:rsidR="00F14D66" w:rsidRDefault="00F14D66" w:rsidP="003B659A">
      <w:pPr>
        <w:pStyle w:val="af"/>
        <w:bidi/>
        <w:spacing w:after="0" w:line="360" w:lineRule="auto"/>
        <w:ind w:left="567"/>
        <w:jc w:val="both"/>
        <w:rPr>
          <w:rFonts w:ascii="David" w:hAnsi="David" w:cs="David"/>
          <w:sz w:val="24"/>
          <w:szCs w:val="24"/>
          <w:rtl/>
          <w:lang w:bidi="he-IL"/>
        </w:rPr>
      </w:pPr>
    </w:p>
    <w:p w:rsidR="003B659A" w:rsidRDefault="003B659A" w:rsidP="003B659A">
      <w:pPr>
        <w:spacing w:line="360" w:lineRule="auto"/>
        <w:jc w:val="center"/>
        <w:rPr>
          <w:rFonts w:ascii="David" w:hAnsi="David"/>
          <w:b/>
          <w:bCs/>
          <w:sz w:val="28"/>
          <w:szCs w:val="28"/>
          <w:u w:val="single"/>
        </w:rPr>
      </w:pPr>
      <w:r>
        <w:rPr>
          <w:rFonts w:ascii="David" w:hAnsi="David"/>
          <w:b/>
          <w:bCs/>
          <w:sz w:val="28"/>
          <w:szCs w:val="28"/>
          <w:u w:val="single"/>
          <w:rtl/>
        </w:rPr>
        <w:lastRenderedPageBreak/>
        <w:t>פסק הדין בתביעה למזונות בתמ"ש 70455-11-20</w:t>
      </w:r>
    </w:p>
    <w:p w:rsidR="003B659A" w:rsidRDefault="003B659A" w:rsidP="003B659A">
      <w:pPr>
        <w:spacing w:line="360" w:lineRule="auto"/>
        <w:jc w:val="both"/>
        <w:rPr>
          <w:rFonts w:ascii="David" w:hAnsi="David"/>
          <w:b/>
          <w:bCs/>
          <w:u w:val="single"/>
          <w:rtl/>
        </w:rPr>
      </w:pPr>
    </w:p>
    <w:p w:rsidR="003B659A" w:rsidRDefault="003B659A" w:rsidP="003B659A">
      <w:pPr>
        <w:spacing w:line="360" w:lineRule="auto"/>
        <w:jc w:val="both"/>
        <w:rPr>
          <w:rFonts w:ascii="David" w:hAnsi="David"/>
          <w:b/>
          <w:bCs/>
          <w:sz w:val="28"/>
          <w:szCs w:val="28"/>
          <w:u w:val="single"/>
          <w:rtl/>
        </w:rPr>
      </w:pPr>
      <w:r>
        <w:rPr>
          <w:rFonts w:ascii="David" w:hAnsi="David"/>
          <w:b/>
          <w:bCs/>
          <w:sz w:val="28"/>
          <w:szCs w:val="28"/>
          <w:u w:val="single"/>
          <w:rtl/>
        </w:rPr>
        <w:t>תמצית טענות הצדדים</w:t>
      </w:r>
    </w:p>
    <w:p w:rsidR="003B659A" w:rsidRDefault="003B659A" w:rsidP="003B659A">
      <w:pPr>
        <w:spacing w:line="360" w:lineRule="auto"/>
        <w:jc w:val="both"/>
        <w:rPr>
          <w:rFonts w:ascii="David" w:hAnsi="David"/>
          <w:b/>
          <w:bCs/>
          <w:u w:val="single"/>
          <w:rtl/>
        </w:rPr>
      </w:pPr>
    </w:p>
    <w:p w:rsidR="003B659A" w:rsidRDefault="003B659A" w:rsidP="003B659A">
      <w:pPr>
        <w:spacing w:line="360" w:lineRule="auto"/>
        <w:jc w:val="both"/>
        <w:rPr>
          <w:rFonts w:ascii="David" w:hAnsi="David"/>
          <w:b/>
          <w:bCs/>
          <w:u w:val="single"/>
          <w:rtl/>
        </w:rPr>
      </w:pPr>
      <w:r>
        <w:rPr>
          <w:rFonts w:ascii="David" w:hAnsi="David"/>
          <w:b/>
          <w:bCs/>
          <w:u w:val="single"/>
          <w:rtl/>
        </w:rPr>
        <w:t>טענות האב</w:t>
      </w:r>
    </w:p>
    <w:p w:rsidR="003B659A" w:rsidRDefault="003B659A" w:rsidP="003B659A">
      <w:pPr>
        <w:spacing w:line="360" w:lineRule="auto"/>
        <w:jc w:val="both"/>
        <w:rPr>
          <w:rFonts w:ascii="David" w:hAnsi="David"/>
          <w:b/>
          <w:bCs/>
          <w:u w:val="single"/>
          <w:rt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sz w:val="24"/>
          <w:szCs w:val="24"/>
          <w:rtl/>
          <w:lang w:bidi="he-IL"/>
        </w:rPr>
        <w:t>האב עותר בכתב תביעתו לחיוב האם במזונות ומדור הקטינות. האב בכתב תביעתו מפנה לטענות הצדדים בתביעת האם למזונות, ומבקש לקבל סך זהה לסך שביקשה האם להוכיח. בסיכומיו, הוא טוען כי מאחר שמדובר בסכום זהה לסכום אותו דרשה האם, הריי שדי בכך כדי להוכיח את תביעתו, שכן עולה מכך שאין למעשה כל מחלוקת ביניהם על גובה המזונות הדרושים לצורך כלכלת הבנות.</w:t>
      </w:r>
    </w:p>
    <w:p w:rsidR="003B659A" w:rsidRDefault="003B659A" w:rsidP="003B659A">
      <w:pPr>
        <w:pStyle w:val="af"/>
        <w:bidi/>
        <w:spacing w:after="0" w:line="360" w:lineRule="auto"/>
        <w:ind w:left="567"/>
        <w:jc w:val="both"/>
        <w:rPr>
          <w:rFonts w:ascii="David" w:hAnsi="David" w:cs="David"/>
          <w:b/>
          <w:bCs/>
          <w:sz w:val="24"/>
          <w:szCs w:val="24"/>
          <w:u w:val="single"/>
          <w:lang w:bidi="he-IL"/>
        </w:rPr>
      </w:pPr>
    </w:p>
    <w:p w:rsidR="003B659A" w:rsidRDefault="003B659A" w:rsidP="00FE0A12">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sz w:val="24"/>
          <w:szCs w:val="24"/>
          <w:rtl/>
          <w:lang w:bidi="he-IL"/>
        </w:rPr>
        <w:t xml:space="preserve">לטענת האב, סך המזונות שצריכה האם להעביר לידו מדי חודש עומד על סך של 9,080 ₪ בכל חודש. זאת, באופן הבא: סך של 2,960 ₪ עבור הבת </w:t>
      </w:r>
      <w:r w:rsidR="00FE0A12">
        <w:rPr>
          <w:rFonts w:ascii="David" w:hAnsi="David" w:cs="David" w:hint="cs"/>
          <w:sz w:val="24"/>
          <w:szCs w:val="24"/>
          <w:lang w:bidi="he-IL"/>
        </w:rPr>
        <w:t>XXX</w:t>
      </w:r>
      <w:r>
        <w:rPr>
          <w:rFonts w:ascii="David" w:hAnsi="David" w:cs="David"/>
          <w:sz w:val="24"/>
          <w:szCs w:val="24"/>
          <w:rtl/>
          <w:lang w:bidi="he-IL"/>
        </w:rPr>
        <w:t xml:space="preserve">; סך של 2,910 ₪ עבור הבת </w:t>
      </w:r>
      <w:r w:rsidR="00FE0A12">
        <w:rPr>
          <w:rFonts w:ascii="David" w:hAnsi="David" w:cs="David" w:hint="cs"/>
          <w:sz w:val="24"/>
          <w:szCs w:val="24"/>
          <w:lang w:bidi="he-IL"/>
        </w:rPr>
        <w:t>XXX</w:t>
      </w:r>
      <w:r>
        <w:rPr>
          <w:rFonts w:ascii="David" w:hAnsi="David" w:cs="David"/>
          <w:sz w:val="24"/>
          <w:szCs w:val="24"/>
          <w:rtl/>
          <w:lang w:bidi="he-IL"/>
        </w:rPr>
        <w:t>; סך של 810 ₪ להחזקת מדור; סך של 2,400 ₪ עבור מדור הבנות). כך, לטענת האב, באופן זהה לדרישותיה של האם בתביעת המזונות שהוגשה בעבר על ידה.</w:t>
      </w:r>
    </w:p>
    <w:p w:rsidR="003B659A" w:rsidRDefault="003B659A" w:rsidP="003B659A">
      <w:pPr>
        <w:pStyle w:val="af"/>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sz w:val="24"/>
          <w:szCs w:val="24"/>
          <w:rtl/>
          <w:lang w:bidi="he-IL"/>
        </w:rPr>
        <w:t>האב עותר בסיכומיו כי סך המזונות ישולמו לו באופן רטרואקטיבי, החל מיום 1.4.2020, עת עזבו האב והבנות את המגורים המשותפים עם האם, ועד להגיען של הבנות לגיל 18. כמו כן, האב עותר כי החל מגיל 18 ועד לסיום השירות הצבאי או השירות הלאומי של כל אחת מהבנות ישולם סך של 1/3 מתוך 4,540 ₪ עבור כל אחת מהבנות.</w:t>
      </w:r>
    </w:p>
    <w:p w:rsidR="003B659A" w:rsidRDefault="003B659A" w:rsidP="003B659A">
      <w:pPr>
        <w:pStyle w:val="af"/>
        <w:bidi/>
        <w:spacing w:after="0" w:line="360" w:lineRule="auto"/>
        <w:ind w:left="567"/>
        <w:jc w:val="both"/>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sz w:val="24"/>
          <w:szCs w:val="24"/>
          <w:rtl/>
          <w:lang w:bidi="he-IL"/>
        </w:rPr>
        <w:t>כמו כן, האב טוען בסיכומיו כי על האם להעביר לידיו את קצבת הבנות המשולמת לה מהמוסד לביטוח לאומי, וכן את המענק שהעניקה המדינה בתקופת הקורונה. כמו כן, מתוקף משמורתו המלאה של האב על הבנות, האב עותר לקבל לידיו מהאם את פנקסי החיסונים של הבנות והדרכונים שלהן.</w:t>
      </w:r>
    </w:p>
    <w:p w:rsidR="003B659A" w:rsidRDefault="003B659A" w:rsidP="003B659A">
      <w:pPr>
        <w:spacing w:line="360" w:lineRule="auto"/>
        <w:jc w:val="both"/>
        <w:rPr>
          <w:rFonts w:ascii="David" w:hAnsi="David"/>
          <w:b/>
          <w:bCs/>
          <w:u w:val="single"/>
        </w:rPr>
      </w:pPr>
    </w:p>
    <w:p w:rsidR="003B659A" w:rsidRDefault="003B659A" w:rsidP="003B659A">
      <w:pPr>
        <w:spacing w:line="360" w:lineRule="auto"/>
        <w:jc w:val="both"/>
        <w:rPr>
          <w:rFonts w:ascii="David" w:hAnsi="David"/>
          <w:b/>
          <w:bCs/>
          <w:u w:val="single"/>
          <w:rtl/>
        </w:rPr>
      </w:pPr>
      <w:r>
        <w:rPr>
          <w:rFonts w:ascii="David" w:hAnsi="David"/>
          <w:b/>
          <w:bCs/>
          <w:u w:val="single"/>
          <w:rtl/>
        </w:rPr>
        <w:t>טענות האם</w:t>
      </w:r>
    </w:p>
    <w:p w:rsidR="003B659A" w:rsidRDefault="003B659A" w:rsidP="003B659A">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sz w:val="24"/>
          <w:szCs w:val="24"/>
          <w:rtl/>
          <w:lang w:bidi="he-IL"/>
        </w:rPr>
        <w:t xml:space="preserve">האם לא הגישה כתב הגנה במסגרת הליך זה. האם הגישה את תצהיר העדות הראשית, במסגרתו טענה כי אין לחייב אותה במזונות הבנות. לטענתה לא חלה עליה חובה לממן את מזונות הבנות, ובפרט כאשר ישנו ניכור כה בולט ביחסים בינה לבין הבנות. </w:t>
      </w:r>
    </w:p>
    <w:p w:rsidR="003B659A" w:rsidRDefault="003B659A" w:rsidP="003B659A">
      <w:pPr>
        <w:pStyle w:val="af"/>
        <w:bidi/>
        <w:spacing w:after="0" w:line="360" w:lineRule="auto"/>
        <w:ind w:left="567"/>
        <w:jc w:val="both"/>
        <w:rPr>
          <w:rFonts w:ascii="David" w:hAnsi="David" w:cs="David"/>
          <w:b/>
          <w:bCs/>
          <w:sz w:val="24"/>
          <w:szCs w:val="24"/>
          <w:u w:val="single"/>
          <w:rtl/>
          <w:lang w:bidi="he-IL"/>
        </w:rPr>
      </w:pPr>
    </w:p>
    <w:p w:rsidR="00F14D66" w:rsidRDefault="00F14D66" w:rsidP="003B659A">
      <w:pPr>
        <w:pStyle w:val="af"/>
        <w:bidi/>
        <w:spacing w:after="0" w:line="360" w:lineRule="auto"/>
        <w:ind w:left="567"/>
        <w:jc w:val="both"/>
        <w:rPr>
          <w:rFonts w:ascii="David" w:hAnsi="David" w:cs="David"/>
          <w:b/>
          <w:bCs/>
          <w:sz w:val="24"/>
          <w:szCs w:val="24"/>
          <w:u w:val="single"/>
          <w:rtl/>
          <w:lang w:bidi="he-IL"/>
        </w:rPr>
      </w:pPr>
    </w:p>
    <w:p w:rsidR="00F14D66" w:rsidRDefault="00F14D66" w:rsidP="003B659A">
      <w:pPr>
        <w:pStyle w:val="af"/>
        <w:bidi/>
        <w:spacing w:after="0" w:line="360" w:lineRule="auto"/>
        <w:ind w:left="567"/>
        <w:jc w:val="both"/>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sz w:val="24"/>
          <w:szCs w:val="24"/>
          <w:rtl/>
          <w:lang w:bidi="he-IL"/>
        </w:rPr>
        <w:lastRenderedPageBreak/>
        <w:t>עוד היא ציינה, כי מצבה הכלכלי רעוע מאז תקופת הקורונה וניתוק הקשר המשפחתי עם הבנות, ולכן נכון להיום משתכרת בסך של כ-3,000 ₪ לחודש בלבד. אי לכך, היא אף לא יכלה להרשות לעצמה להמשיך בטיפול הרגשי כפי שהמליץ בית המשפט ולפיכך ניתוק הקשר עם הבנות נותר כשהיה.</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לטענת האם, אין ביכולתה הכלכלית לשאת במזונות עבור הבנות, ואין לחייבה במזונות הבנות במיוחד לאור פערי ההשתכרות המשמעותיים בין הצדדים. לפיכך, לטענתה, יש לדחות את תביעת האב.</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בסיכומיה, האם הוסיפה כי האב לא הוכיח את הוצאותיו בגין גידול הבנות, שכן הוא לא תמך טענותיו אף לא במסמך אחד המעיד על ההוצאות שהוא נושא בהן, ולא ביסס עובדתית את טענותיו. ועל כן לא הוכיח את תביעתו.</w:t>
      </w:r>
    </w:p>
    <w:p w:rsidR="003B659A" w:rsidRDefault="003B659A" w:rsidP="003B659A">
      <w:pPr>
        <w:spacing w:line="360" w:lineRule="auto"/>
        <w:jc w:val="both"/>
        <w:rPr>
          <w:rFonts w:ascii="David" w:hAnsi="David"/>
          <w:b/>
          <w:bCs/>
          <w:u w:val="single"/>
        </w:rPr>
      </w:pPr>
    </w:p>
    <w:p w:rsidR="003B659A" w:rsidRDefault="003B659A" w:rsidP="003B659A">
      <w:pPr>
        <w:spacing w:line="360" w:lineRule="auto"/>
        <w:jc w:val="both"/>
        <w:rPr>
          <w:rFonts w:ascii="David" w:hAnsi="David"/>
          <w:b/>
          <w:bCs/>
          <w:sz w:val="28"/>
          <w:szCs w:val="28"/>
          <w:u w:val="single"/>
          <w:rtl/>
        </w:rPr>
      </w:pPr>
      <w:r>
        <w:rPr>
          <w:rFonts w:ascii="David" w:hAnsi="David"/>
          <w:b/>
          <w:bCs/>
          <w:sz w:val="28"/>
          <w:szCs w:val="28"/>
          <w:u w:val="single"/>
          <w:rtl/>
        </w:rPr>
        <w:t>דיון והכרעה</w:t>
      </w:r>
    </w:p>
    <w:p w:rsidR="003B659A" w:rsidRDefault="003B659A" w:rsidP="003B659A">
      <w:pPr>
        <w:spacing w:line="360" w:lineRule="auto"/>
        <w:jc w:val="both"/>
        <w:rPr>
          <w:rFonts w:ascii="David" w:hAnsi="David"/>
          <w:b/>
          <w:bCs/>
          <w:sz w:val="28"/>
          <w:szCs w:val="28"/>
          <w:u w:val="single"/>
          <w:rtl/>
        </w:rPr>
      </w:pPr>
    </w:p>
    <w:p w:rsidR="003B659A" w:rsidRDefault="003B659A" w:rsidP="003B659A">
      <w:pPr>
        <w:spacing w:line="360" w:lineRule="auto"/>
        <w:jc w:val="both"/>
        <w:rPr>
          <w:rFonts w:ascii="David" w:hAnsi="David"/>
          <w:b/>
          <w:bCs/>
          <w:u w:val="single"/>
          <w:rtl/>
        </w:rPr>
      </w:pPr>
      <w:r>
        <w:rPr>
          <w:rFonts w:ascii="David" w:hAnsi="David"/>
          <w:b/>
          <w:bCs/>
          <w:u w:val="single"/>
          <w:rtl/>
        </w:rPr>
        <w:t>הכנסות האב</w:t>
      </w: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בכתב תביעתו, ציין </w:t>
      </w:r>
      <w:r>
        <w:rPr>
          <w:rFonts w:ascii="David" w:hAnsi="David" w:cs="David"/>
          <w:b/>
          <w:bCs/>
          <w:sz w:val="24"/>
          <w:szCs w:val="24"/>
          <w:rtl/>
          <w:lang w:bidi="he-IL"/>
        </w:rPr>
        <w:t>האב</w:t>
      </w:r>
      <w:r>
        <w:rPr>
          <w:rFonts w:ascii="David" w:hAnsi="David" w:cs="David"/>
          <w:sz w:val="24"/>
          <w:szCs w:val="24"/>
          <w:rtl/>
          <w:lang w:bidi="he-IL"/>
        </w:rPr>
        <w:t xml:space="preserve"> כי הוא עובד למחייתו כ</w:t>
      </w:r>
      <w:r w:rsidR="003444A6">
        <w:rPr>
          <w:rFonts w:ascii="David" w:hAnsi="David" w:cs="David" w:hint="cs"/>
          <w:sz w:val="24"/>
          <w:szCs w:val="24"/>
          <w:rtl/>
          <w:lang w:bidi="he-IL"/>
        </w:rPr>
        <w:t>---</w:t>
      </w:r>
      <w:r>
        <w:rPr>
          <w:rFonts w:ascii="David" w:hAnsi="David" w:cs="David"/>
          <w:sz w:val="24"/>
          <w:szCs w:val="24"/>
          <w:rtl/>
          <w:lang w:bidi="he-IL"/>
        </w:rPr>
        <w:t>, ונכון לשנת 2020 השתכר בסך של 21,278 ₪ בממוצע לחודש. כתימוכין לכך, צירף האב העתק אישור הכנסה מיום 15.11.2020 (צורף וסומן כנספח 10 לכתב תביעתו של האב). בסיכומיו, האב לא הוסיף פירוט מעבר לכך.</w:t>
      </w:r>
    </w:p>
    <w:p w:rsidR="003B659A" w:rsidRDefault="003B659A" w:rsidP="00B540A6">
      <w:pPr>
        <w:pStyle w:val="af"/>
        <w:bidi/>
        <w:spacing w:after="0" w:line="240" w:lineRule="auto"/>
        <w:ind w:left="567"/>
        <w:jc w:val="both"/>
        <w:rPr>
          <w:rFonts w:ascii="David" w:hAnsi="David" w:cs="David"/>
          <w:sz w:val="24"/>
          <w:szCs w:val="24"/>
          <w:lang w:bidi="he-IL"/>
        </w:rPr>
      </w:pPr>
    </w:p>
    <w:p w:rsidR="003B659A" w:rsidRDefault="003B659A" w:rsidP="00852F6E">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rtl/>
          <w:lang w:bidi="he-IL"/>
        </w:rPr>
        <w:t>האם</w:t>
      </w:r>
      <w:r>
        <w:rPr>
          <w:rFonts w:ascii="David" w:hAnsi="David" w:cs="David"/>
          <w:sz w:val="24"/>
          <w:szCs w:val="24"/>
          <w:rtl/>
          <w:lang w:bidi="he-IL"/>
        </w:rPr>
        <w:t xml:space="preserve"> טוענת כי האב עובד כמייצר </w:t>
      </w:r>
      <w:r w:rsidR="003444A6">
        <w:rPr>
          <w:rFonts w:ascii="David" w:hAnsi="David" w:cs="David" w:hint="cs"/>
          <w:sz w:val="24"/>
          <w:szCs w:val="24"/>
          <w:rtl/>
          <w:lang w:bidi="he-IL"/>
        </w:rPr>
        <w:t>***</w:t>
      </w:r>
      <w:r>
        <w:rPr>
          <w:rFonts w:ascii="David" w:hAnsi="David" w:cs="David"/>
          <w:sz w:val="24"/>
          <w:szCs w:val="24"/>
          <w:rtl/>
          <w:lang w:bidi="he-IL"/>
        </w:rPr>
        <w:t xml:space="preserve">, יש לו עסק פעיל ומבוקש, והוא אף מעסיק כ-8 עובדים. לטענת האם בתצהירה, האב משתכר הרבה מעל 21,000 ₪ כפי שהצהיר. לטענת האם בסיכומיה, גם מתוך חקירת האב עולה כי פוטנציאל ההשתכרות החודשי שלו גבוה בהרבה מזה שעליו הצהיר. </w:t>
      </w:r>
    </w:p>
    <w:p w:rsidR="003B659A" w:rsidRDefault="003B659A" w:rsidP="00B540A6">
      <w:pPr>
        <w:pStyle w:val="af"/>
        <w:bidi/>
        <w:spacing w:after="0" w:line="24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לטענת </w:t>
      </w:r>
      <w:r>
        <w:rPr>
          <w:rFonts w:ascii="David" w:hAnsi="David" w:cs="David"/>
          <w:b/>
          <w:bCs/>
          <w:sz w:val="24"/>
          <w:szCs w:val="24"/>
          <w:rtl/>
          <w:lang w:bidi="he-IL"/>
        </w:rPr>
        <w:t>האם</w:t>
      </w:r>
      <w:r>
        <w:rPr>
          <w:rFonts w:ascii="David" w:hAnsi="David" w:cs="David"/>
          <w:sz w:val="24"/>
          <w:szCs w:val="24"/>
          <w:rtl/>
          <w:lang w:bidi="he-IL"/>
        </w:rPr>
        <w:t>, אורח החיים של האב מעיד כי הכנסתו הקבועה עומדת על סך של 30,000 ₪ לכל הפחות. שכן, הוא הצהיר כי הוא שכר בית פרטי צמוד קרקע ב</w:t>
      </w:r>
      <w:r w:rsidR="003444A6">
        <w:rPr>
          <w:rFonts w:ascii="David" w:hAnsi="David" w:cs="David" w:hint="cs"/>
          <w:sz w:val="24"/>
          <w:szCs w:val="24"/>
          <w:rtl/>
          <w:lang w:bidi="he-IL"/>
        </w:rPr>
        <w:t>***</w:t>
      </w:r>
      <w:r>
        <w:rPr>
          <w:rFonts w:ascii="David" w:hAnsi="David" w:cs="David"/>
          <w:sz w:val="24"/>
          <w:szCs w:val="24"/>
          <w:rtl/>
          <w:lang w:bidi="he-IL"/>
        </w:rPr>
        <w:t xml:space="preserve"> ומשלם סך של 8,000 ₪ לחודש. כמו כן, לאחרונה רכש שני סוסים לבעלותו ורכב יוקרה. משכך, עולה כי רמת החיים של האב מעידה כי הכנסותיו עולות על הסכומים אותם הוא הציג בפני בית המשפט. </w:t>
      </w:r>
    </w:p>
    <w:p w:rsidR="003B659A" w:rsidRPr="00B540A6" w:rsidRDefault="003B659A" w:rsidP="00B540A6">
      <w:pPr>
        <w:pStyle w:val="af"/>
        <w:bidi/>
        <w:spacing w:after="0" w:line="240" w:lineRule="auto"/>
        <w:ind w:left="567"/>
        <w:jc w:val="both"/>
        <w:rPr>
          <w:rFonts w:ascii="David" w:hAnsi="David" w:cs="David"/>
          <w:sz w:val="24"/>
          <w:szCs w:val="24"/>
          <w:lang w:bidi="he-IL"/>
        </w:rPr>
      </w:pPr>
    </w:p>
    <w:p w:rsidR="003B659A" w:rsidRDefault="003B659A" w:rsidP="00FE0A12">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בכתב התביעה טען האב כי הוא משתכר 21,278 ₪ לחודש. האב הגיש מסמך בודד החתום על ידי יועץ מס מוסמך, מר </w:t>
      </w:r>
      <w:r w:rsidR="00FE0A12">
        <w:rPr>
          <w:rFonts w:ascii="David" w:hAnsi="David" w:cs="David" w:hint="cs"/>
          <w:sz w:val="24"/>
          <w:szCs w:val="24"/>
          <w:lang w:bidi="he-IL"/>
        </w:rPr>
        <w:t>XXX</w:t>
      </w:r>
      <w:r>
        <w:rPr>
          <w:rFonts w:ascii="David" w:hAnsi="David" w:cs="David"/>
          <w:sz w:val="24"/>
          <w:szCs w:val="24"/>
          <w:rtl/>
          <w:lang w:bidi="he-IL"/>
        </w:rPr>
        <w:t xml:space="preserve"> (להלן: "יועץ המס")</w:t>
      </w:r>
      <w:r>
        <w:rPr>
          <w:rFonts w:ascii="David" w:hAnsi="David" w:cs="David"/>
          <w:sz w:val="24"/>
          <w:szCs w:val="24"/>
          <w:lang w:bidi="he-IL"/>
        </w:rPr>
        <w:t xml:space="preserve"> </w:t>
      </w:r>
      <w:r>
        <w:rPr>
          <w:rFonts w:ascii="David" w:hAnsi="David" w:cs="David"/>
          <w:sz w:val="24"/>
          <w:szCs w:val="24"/>
          <w:rtl/>
          <w:lang w:bidi="he-IL"/>
        </w:rPr>
        <w:t>(צורף וסומן כנספח 10 לכתב התביעה), הקובע כי בשנת המס 2020 הרווח הסתכם בסך של 212,789 ₪. אולם האישור התייחס ל-10 חודשים בלבד ולא כלל את חודשים 11-12/2020 ללא כל הסבר. יודגש באישור של יועץ המס אין כל הסבר לגבי מה הרווח מתייחס, מה העסק וממה ההשתכרות. לא צורף דוח רווח והפסד של העסק כלל.</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האב צירף לתצהיר עדות ראשית אישור הכנסה מיועץ המס בשנת המס 2021 הרווח הסתכם בסך של 71,575 ₪ אליו צורף דו"ח רווח והפסד לשנת 2021 (צורף וסומן כנספח 10 לתצהיר האב). מעבר לכך, האב לא צירף דפי חשבון, העברות מהעסק לחשבון הבנק שלו, או כל מסמך אחר, אשר יכול להעיד על גובה ההכנסתיו לאורך זמן. בשל כך, קיים קושי לקבוע את הכנסתו המדויקת של האב. גם אישור זה מתייחס ל-11 חודשים בלבד ולא נכלל חודש 12/2021 ללא כל הסבר. יודגש באישור של יועץ המס אין כל הסבר לגבי מה הרווח מתייחס, מה העסק וממה ההשתכרות. </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בדו"ח רווח והפסד עולה כי הכנסות העסק של האב עמדו על סך כולל של 2,553,668 ₪ - המהווים הכנסות של כ-232,000 ₪ לחודש. לגבי הוצאות לא ברור מה היא עלות הקניות  שהועמדה בסף של 2,125,169 ₪. האב לא נתן לכך כל הסבר.  האב לא הסביר האם שכר העבודה המופיע בדו"ח בסך של 246,067 ₪ הוא שכר עבודה שלו או של עובדים אחרים. שכר זה מהווה הכנסה חודשית של כ-22,300 ₪ לחודש.  כמו כן אין התייחסות לניכוי הוצאה עבור שכר דירה בשיעור של 18,000 ₪ האם מתייחס למדור האב והקטינות, אם לאו. סך הרווח הנקי הוא בסך של 71,575 ₪. קרי גם לאחר שצורף דו"ח רווח והפסד הכנסתו של האב נותרה לוטה בערפל באופן מדוייק: לא ברור האם הכנסתו נכללת בדו"ח כשכר עבודה, לא ברור טיב ההוצאות שהקטין מאוד את הרווח לאור ההכנסות הגבוהות, לא ברור האם הרווח הנקי הועבר לאב? נותר בעסק?</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rtl/>
          <w:lang w:bidi="he-IL"/>
        </w:rPr>
        <w:t>האב</w:t>
      </w:r>
      <w:r>
        <w:rPr>
          <w:rFonts w:ascii="David" w:hAnsi="David" w:cs="David"/>
          <w:sz w:val="24"/>
          <w:szCs w:val="24"/>
          <w:rtl/>
          <w:lang w:bidi="he-IL"/>
        </w:rPr>
        <w:t xml:space="preserve"> נשאל בחקירתו לגבי הכנסותיו, וענה כי הוא עובד במסודר עם חשבוניות ולא במזומן, ולכן כל הכספים נכנסים לחשבון הבנק:</w:t>
      </w:r>
    </w:p>
    <w:p w:rsidR="003B659A" w:rsidRDefault="003B659A" w:rsidP="003B659A">
      <w:pPr>
        <w:pStyle w:val="ad"/>
        <w:shd w:val="clear" w:color="auto" w:fill="auto"/>
        <w:spacing w:line="360" w:lineRule="auto"/>
        <w:ind w:hanging="1134"/>
        <w:jc w:val="both"/>
        <w:rPr>
          <w:rFonts w:ascii="Arial" w:hAnsi="Arial" w:cs="David"/>
          <w:sz w:val="24"/>
          <w:szCs w:val="24"/>
          <w:u w:val="none"/>
        </w:rPr>
      </w:pPr>
      <w:r>
        <w:rPr>
          <w:rFonts w:ascii="Arial" w:hAnsi="Arial" w:cs="David"/>
          <w:b w:val="0"/>
          <w:bCs w:val="0"/>
          <w:sz w:val="24"/>
          <w:szCs w:val="24"/>
          <w:u w:val="none"/>
          <w:rtl/>
        </w:rPr>
        <w:t>"</w:t>
      </w:r>
      <w:r>
        <w:rPr>
          <w:rFonts w:ascii="Arial" w:hAnsi="Arial" w:cs="David"/>
          <w:sz w:val="24"/>
          <w:szCs w:val="24"/>
          <w:u w:val="none"/>
          <w:rtl/>
        </w:rPr>
        <w:t>ת:</w:t>
      </w:r>
      <w:r>
        <w:rPr>
          <w:rFonts w:ascii="Arial" w:hAnsi="Arial" w:cs="David"/>
          <w:sz w:val="24"/>
          <w:szCs w:val="24"/>
          <w:u w:val="none"/>
          <w:rtl/>
        </w:rPr>
        <w:tab/>
        <w:t>אין תשלום במזומן אצלי בעסק.</w:t>
      </w:r>
    </w:p>
    <w:p w:rsidR="003B659A" w:rsidRDefault="003B659A" w:rsidP="003B659A">
      <w:pPr>
        <w:pStyle w:val="ad"/>
        <w:shd w:val="clear" w:color="auto" w:fill="auto"/>
        <w:spacing w:line="360" w:lineRule="auto"/>
        <w:ind w:hanging="1134"/>
        <w:jc w:val="both"/>
        <w:rPr>
          <w:rFonts w:ascii="Arial" w:hAnsi="Arial" w:cs="David"/>
          <w:sz w:val="24"/>
          <w:szCs w:val="24"/>
          <w:u w:val="none"/>
          <w:rtl/>
        </w:rPr>
      </w:pPr>
      <w:bookmarkStart w:id="1" w:name="_ETM_Q_1267288"/>
      <w:bookmarkEnd w:id="1"/>
      <w:r>
        <w:rPr>
          <w:rFonts w:ascii="Arial" w:hAnsi="Arial" w:cs="David"/>
          <w:sz w:val="24"/>
          <w:szCs w:val="24"/>
          <w:u w:val="none"/>
          <w:rtl/>
        </w:rPr>
        <w:t>ש:</w:t>
      </w:r>
      <w:r>
        <w:rPr>
          <w:rFonts w:ascii="Arial" w:hAnsi="Arial" w:cs="David"/>
          <w:sz w:val="24"/>
          <w:szCs w:val="24"/>
          <w:u w:val="none"/>
          <w:rtl/>
        </w:rPr>
        <w:tab/>
        <w:t>הכול הולך לבנק?</w:t>
      </w:r>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 xml:space="preserve">הכול הולך עם חשבוניות לבנק כן. </w:t>
      </w:r>
      <w:bookmarkStart w:id="2" w:name="_ETM_Q_1268488"/>
      <w:bookmarkEnd w:id="2"/>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עם חשבוניות אני</w:t>
      </w:r>
      <w:bookmarkStart w:id="3" w:name="_ETM_Q_1270576"/>
      <w:bookmarkEnd w:id="3"/>
      <w:r>
        <w:rPr>
          <w:rFonts w:ascii="Arial" w:hAnsi="Arial" w:cs="David"/>
          <w:sz w:val="24"/>
          <w:szCs w:val="24"/>
          <w:u w:val="none"/>
          <w:rtl/>
        </w:rPr>
        <w:t xml:space="preserve"> מבינה. אבל הכול עובר דרך הבנק?</w:t>
      </w:r>
      <w:bookmarkStart w:id="4" w:name="_ETM_Q_1273971"/>
      <w:bookmarkEnd w:id="4"/>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ברור.</w:t>
      </w:r>
      <w:bookmarkStart w:id="5" w:name="_ETM_Q_1275016"/>
      <w:bookmarkEnd w:id="5"/>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אז אני מבקשת, כל עוד לא הצגת שום דבר כזה, אז אני יכולה</w:t>
      </w:r>
      <w:bookmarkStart w:id="6" w:name="_ETM_Q_1276194"/>
      <w:bookmarkEnd w:id="6"/>
      <w:r>
        <w:rPr>
          <w:rFonts w:ascii="Arial" w:hAnsi="Arial" w:cs="David"/>
          <w:sz w:val="24"/>
          <w:szCs w:val="24"/>
          <w:u w:val="none"/>
          <w:rtl/>
        </w:rPr>
        <w:t xml:space="preserve"> לומר שאתה מרוויח מיליונים, כי אתה לא מציג</w:t>
      </w:r>
      <w:bookmarkStart w:id="7" w:name="_ETM_Q_1280270"/>
      <w:bookmarkEnd w:id="7"/>
      <w:r>
        <w:rPr>
          <w:rFonts w:ascii="Arial" w:hAnsi="Arial" w:cs="David"/>
          <w:sz w:val="24"/>
          <w:szCs w:val="24"/>
          <w:u w:val="none"/>
          <w:rtl/>
        </w:rPr>
        <w:t xml:space="preserve"> לי את ההיפך.</w:t>
      </w:r>
      <w:bookmarkStart w:id="8" w:name="_ETM_Q_1278594"/>
      <w:bookmarkEnd w:id="8"/>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את יכולה להגיד מה שאת רוצה. אני יודע</w:t>
      </w:r>
      <w:bookmarkStart w:id="9" w:name="_ETM_Q_1282775"/>
      <w:bookmarkEnd w:id="9"/>
      <w:r>
        <w:rPr>
          <w:rFonts w:ascii="Arial" w:hAnsi="Arial" w:cs="David"/>
          <w:sz w:val="24"/>
          <w:szCs w:val="24"/>
          <w:u w:val="none"/>
          <w:rtl/>
        </w:rPr>
        <w:t xml:space="preserve"> מה המצב שלי.</w:t>
      </w:r>
      <w:bookmarkStart w:id="10" w:name="_ETM_Q_1281624"/>
      <w:bookmarkEnd w:id="10"/>
    </w:p>
    <w:p w:rsidR="003B659A" w:rsidRDefault="003B659A" w:rsidP="003B659A">
      <w:pPr>
        <w:pStyle w:val="ad"/>
        <w:shd w:val="clear" w:color="auto" w:fill="auto"/>
        <w:spacing w:line="360" w:lineRule="auto"/>
        <w:ind w:hanging="1134"/>
        <w:jc w:val="both"/>
        <w:rPr>
          <w:rFonts w:ascii="Arial" w:hAnsi="Arial" w:cs="David"/>
          <w:b w:val="0"/>
          <w:bCs w:val="0"/>
          <w:sz w:val="24"/>
          <w:szCs w:val="24"/>
          <w:u w:val="none"/>
          <w:rtl/>
        </w:rPr>
      </w:pPr>
      <w:r>
        <w:rPr>
          <w:rFonts w:ascii="Arial" w:hAnsi="Arial" w:cs="David"/>
          <w:sz w:val="24"/>
          <w:szCs w:val="24"/>
          <w:u w:val="none"/>
          <w:rtl/>
        </w:rPr>
        <w:t>ש:</w:t>
      </w:r>
      <w:r>
        <w:rPr>
          <w:rFonts w:ascii="Arial" w:hAnsi="Arial" w:cs="David"/>
          <w:sz w:val="24"/>
          <w:szCs w:val="24"/>
          <w:u w:val="none"/>
          <w:rtl/>
        </w:rPr>
        <w:tab/>
        <w:t>טוב. אז תראה לנו.</w:t>
      </w:r>
      <w:bookmarkStart w:id="11" w:name="_ETM_Q_1283716"/>
      <w:bookmarkEnd w:id="11"/>
      <w:r>
        <w:rPr>
          <w:rFonts w:ascii="Arial" w:hAnsi="Arial" w:cs="David"/>
          <w:b w:val="0"/>
          <w:bCs w:val="0"/>
          <w:sz w:val="24"/>
          <w:szCs w:val="24"/>
          <w:u w:val="none"/>
          <w:rtl/>
        </w:rPr>
        <w:t>"</w:t>
      </w:r>
    </w:p>
    <w:p w:rsidR="003B659A" w:rsidRDefault="003B659A" w:rsidP="003B659A">
      <w:pPr>
        <w:pStyle w:val="ad"/>
        <w:shd w:val="clear" w:color="auto" w:fill="auto"/>
        <w:spacing w:line="360" w:lineRule="auto"/>
        <w:ind w:hanging="1134"/>
        <w:jc w:val="both"/>
        <w:rPr>
          <w:rFonts w:ascii="Arial" w:hAnsi="Arial" w:cs="David"/>
          <w:b w:val="0"/>
          <w:bCs w:val="0"/>
          <w:sz w:val="24"/>
          <w:szCs w:val="24"/>
          <w:u w:val="none"/>
          <w:rtl/>
        </w:rPr>
      </w:pPr>
      <w:r>
        <w:rPr>
          <w:rFonts w:ascii="Arial" w:hAnsi="Arial" w:cs="David"/>
          <w:b w:val="0"/>
          <w:bCs w:val="0"/>
          <w:sz w:val="24"/>
          <w:szCs w:val="24"/>
          <w:u w:val="none"/>
          <w:rtl/>
        </w:rPr>
        <w:t>(ראו: פרוט' מיום 13.4.2022, עמ' 32, שורות 23-16)</w:t>
      </w:r>
    </w:p>
    <w:p w:rsidR="003B659A" w:rsidRDefault="003B659A" w:rsidP="003B659A">
      <w:pPr>
        <w:pStyle w:val="ad"/>
        <w:shd w:val="clear" w:color="auto" w:fill="auto"/>
        <w:spacing w:line="360" w:lineRule="auto"/>
        <w:ind w:left="720" w:firstLine="0"/>
        <w:jc w:val="both"/>
        <w:rPr>
          <w:rFonts w:ascii="Arial" w:hAnsi="Arial" w:cs="David"/>
          <w:b w:val="0"/>
          <w:bCs w:val="0"/>
          <w:sz w:val="24"/>
          <w:szCs w:val="24"/>
          <w:u w:val="none"/>
          <w:rtl/>
        </w:rPr>
      </w:pPr>
    </w:p>
    <w:p w:rsidR="005438C7" w:rsidRDefault="005438C7" w:rsidP="003B659A">
      <w:pPr>
        <w:pStyle w:val="ad"/>
        <w:shd w:val="clear" w:color="auto" w:fill="auto"/>
        <w:spacing w:line="360" w:lineRule="auto"/>
        <w:ind w:left="720" w:firstLine="0"/>
        <w:jc w:val="both"/>
        <w:rPr>
          <w:rFonts w:ascii="Arial" w:hAnsi="Arial" w:cs="David"/>
          <w:b w:val="0"/>
          <w:bCs w:val="0"/>
          <w:sz w:val="24"/>
          <w:szCs w:val="24"/>
          <w:u w:val="none"/>
          <w:rtl/>
        </w:rPr>
      </w:pPr>
    </w:p>
    <w:p w:rsidR="005438C7" w:rsidRDefault="005438C7" w:rsidP="003B659A">
      <w:pPr>
        <w:pStyle w:val="ad"/>
        <w:shd w:val="clear" w:color="auto" w:fill="auto"/>
        <w:spacing w:line="360" w:lineRule="auto"/>
        <w:ind w:left="720" w:firstLine="0"/>
        <w:jc w:val="both"/>
        <w:rPr>
          <w:rFonts w:ascii="Arial" w:hAnsi="Arial" w:cs="David"/>
          <w:b w:val="0"/>
          <w:bCs w:val="0"/>
          <w:sz w:val="24"/>
          <w:szCs w:val="24"/>
          <w:u w:val="none"/>
          <w:rt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lastRenderedPageBreak/>
        <w:t xml:space="preserve">כמו כן, </w:t>
      </w:r>
      <w:r>
        <w:rPr>
          <w:rFonts w:ascii="David" w:hAnsi="David" w:cs="David"/>
          <w:b/>
          <w:bCs/>
          <w:sz w:val="24"/>
          <w:szCs w:val="24"/>
          <w:rtl/>
          <w:lang w:bidi="he-IL"/>
        </w:rPr>
        <w:t>האב</w:t>
      </w:r>
      <w:r>
        <w:rPr>
          <w:rFonts w:ascii="David" w:hAnsi="David" w:cs="David"/>
          <w:sz w:val="24"/>
          <w:szCs w:val="24"/>
          <w:rtl/>
          <w:lang w:bidi="he-IL"/>
        </w:rPr>
        <w:t xml:space="preserve"> ענה בצורה מתחמקת, ולא נתן הסבר המניח את הדעת מדוע לא צירף אסמכתאות נוספות המעידות על גובה השתכרותו, מעבר למסמכים הבודדים שצירף:</w:t>
      </w:r>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אז למה לא הצגת לי</w:t>
      </w:r>
      <w:bookmarkStart w:id="12" w:name="_ETM_Q_1365023"/>
      <w:bookmarkEnd w:id="12"/>
      <w:r>
        <w:rPr>
          <w:rFonts w:ascii="Arial" w:hAnsi="Arial" w:cs="David"/>
          <w:sz w:val="24"/>
          <w:szCs w:val="24"/>
          <w:u w:val="none"/>
          <w:rtl/>
        </w:rPr>
        <w:t xml:space="preserve"> חשבוניות? שמראות את ההכנסות שלך? </w:t>
      </w:r>
      <w:bookmarkStart w:id="13" w:name="_ETM_Q_1366093"/>
      <w:bookmarkEnd w:id="13"/>
      <w:r>
        <w:rPr>
          <w:rFonts w:ascii="Arial" w:hAnsi="Arial" w:cs="David"/>
          <w:sz w:val="24"/>
          <w:szCs w:val="24"/>
          <w:u w:val="none"/>
          <w:rtl/>
        </w:rPr>
        <w:t>אין פה הכנסות ואין</w:t>
      </w:r>
      <w:bookmarkStart w:id="14" w:name="_ETM_Q_1372888"/>
      <w:bookmarkEnd w:id="14"/>
      <w:r>
        <w:rPr>
          <w:rFonts w:ascii="Arial" w:hAnsi="Arial" w:cs="David"/>
          <w:sz w:val="24"/>
          <w:szCs w:val="24"/>
          <w:u w:val="none"/>
          <w:rtl/>
        </w:rPr>
        <w:t xml:space="preserve"> פה הוצאות לפי דבריך. לא קבלה ולא כלום.</w:t>
      </w:r>
      <w:bookmarkStart w:id="15" w:name="_ETM_Q_1373572"/>
      <w:bookmarkEnd w:id="15"/>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לא. הגשתי לך</w:t>
      </w:r>
      <w:bookmarkStart w:id="16" w:name="_ETM_Q_1376702"/>
      <w:bookmarkEnd w:id="16"/>
      <w:r>
        <w:rPr>
          <w:rFonts w:ascii="Arial" w:hAnsi="Arial" w:cs="David"/>
          <w:sz w:val="24"/>
          <w:szCs w:val="24"/>
          <w:u w:val="none"/>
          <w:rtl/>
        </w:rPr>
        <w:t xml:space="preserve"> את מה שביקשתם. את הרואה חשבון, את ההכנסות שלי,</w:t>
      </w:r>
      <w:bookmarkStart w:id="17" w:name="_ETM_Q_1377249"/>
      <w:bookmarkEnd w:id="17"/>
      <w:r>
        <w:rPr>
          <w:rFonts w:ascii="Arial" w:hAnsi="Arial" w:cs="David"/>
          <w:sz w:val="24"/>
          <w:szCs w:val="24"/>
          <w:u w:val="none"/>
          <w:rtl/>
        </w:rPr>
        <w:t xml:space="preserve"> יש לך את הכול כתוב. כמה הרווחתי לכל שנה. אני</w:t>
      </w:r>
      <w:bookmarkStart w:id="18" w:name="_ETM_Q_1381951"/>
      <w:bookmarkEnd w:id="18"/>
      <w:r>
        <w:rPr>
          <w:rFonts w:ascii="Arial" w:hAnsi="Arial" w:cs="David"/>
          <w:sz w:val="24"/>
          <w:szCs w:val="24"/>
          <w:u w:val="none"/>
          <w:rtl/>
        </w:rPr>
        <w:t xml:space="preserve"> אף אחד לא אמר, שאני צריך להגיש לך,</w:t>
      </w:r>
      <w:bookmarkStart w:id="19" w:name="_ETM_Q_1381327"/>
      <w:bookmarkEnd w:id="19"/>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 xml:space="preserve">אני רוצה לראות, </w:t>
      </w:r>
      <w:bookmarkStart w:id="20" w:name="_ETM_Q_1382894"/>
      <w:bookmarkEnd w:id="20"/>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חשבוניות.</w:t>
      </w:r>
      <w:bookmarkStart w:id="21" w:name="_ETM_Q_1383311"/>
      <w:bookmarkEnd w:id="21"/>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אף אחד לא אמר. בסדר. אני, אני לא אמרתי</w:t>
      </w:r>
      <w:bookmarkStart w:id="22" w:name="_ETM_Q_1387751"/>
      <w:bookmarkEnd w:id="22"/>
      <w:r>
        <w:rPr>
          <w:rFonts w:ascii="Arial" w:hAnsi="Arial" w:cs="David"/>
          <w:sz w:val="24"/>
          <w:szCs w:val="24"/>
          <w:u w:val="none"/>
          <w:rtl/>
        </w:rPr>
        <w:t xml:space="preserve"> שאמרו לך, </w:t>
      </w:r>
    </w:p>
    <w:p w:rsidR="003B659A" w:rsidRDefault="003B659A" w:rsidP="003B659A">
      <w:pPr>
        <w:pStyle w:val="ad"/>
        <w:shd w:val="clear" w:color="auto" w:fill="auto"/>
        <w:spacing w:line="360" w:lineRule="auto"/>
        <w:ind w:hanging="1134"/>
        <w:jc w:val="both"/>
        <w:rPr>
          <w:rFonts w:ascii="Arial" w:hAnsi="Arial" w:cs="David"/>
          <w:sz w:val="24"/>
          <w:szCs w:val="24"/>
          <w:u w:val="none"/>
          <w:rtl/>
        </w:rPr>
      </w:pPr>
      <w:bookmarkStart w:id="23" w:name="_ETM_Q_1386078"/>
      <w:bookmarkEnd w:id="23"/>
      <w:r>
        <w:rPr>
          <w:rFonts w:ascii="Arial" w:hAnsi="Arial" w:cs="David"/>
          <w:sz w:val="24"/>
          <w:szCs w:val="24"/>
          <w:u w:val="none"/>
          <w:rtl/>
        </w:rPr>
        <w:t>ת:</w:t>
      </w:r>
      <w:r>
        <w:rPr>
          <w:rFonts w:ascii="Arial" w:hAnsi="Arial" w:cs="David"/>
          <w:sz w:val="24"/>
          <w:szCs w:val="24"/>
          <w:u w:val="none"/>
          <w:rtl/>
        </w:rPr>
        <w:tab/>
        <w:t>אז מה?</w:t>
      </w:r>
      <w:bookmarkStart w:id="24" w:name="_ETM_Q_1387384"/>
      <w:bookmarkEnd w:id="24"/>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ולא עשית משהו.</w:t>
      </w:r>
      <w:bookmarkStart w:id="25" w:name="_ETM_Q_1388951"/>
      <w:bookmarkEnd w:id="25"/>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אז, אז למה שאני אגי</w:t>
      </w:r>
      <w:bookmarkStart w:id="26" w:name="_ETM_Q_1388326"/>
      <w:bookmarkEnd w:id="26"/>
      <w:r>
        <w:rPr>
          <w:rFonts w:ascii="Arial" w:hAnsi="Arial" w:cs="David"/>
          <w:sz w:val="24"/>
          <w:szCs w:val="24"/>
          <w:u w:val="none"/>
          <w:rtl/>
        </w:rPr>
        <w:t>ש לך חשבוניות?</w:t>
      </w:r>
      <w:bookmarkStart w:id="27" w:name="_ETM_Q_1387699"/>
      <w:bookmarkEnd w:id="27"/>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אני אומרת, שכשבן אדם מגיש, כי אדם</w:t>
      </w:r>
      <w:bookmarkStart w:id="28" w:name="_ETM_Q_1391621"/>
      <w:bookmarkEnd w:id="28"/>
      <w:r>
        <w:rPr>
          <w:rFonts w:ascii="Arial" w:hAnsi="Arial" w:cs="David"/>
          <w:sz w:val="24"/>
          <w:szCs w:val="24"/>
          <w:u w:val="none"/>
          <w:rtl/>
        </w:rPr>
        <w:t xml:space="preserve"> מגיש תביעה,</w:t>
      </w:r>
      <w:bookmarkStart w:id="29" w:name="_ETM_Q_1392662"/>
      <w:bookmarkEnd w:id="29"/>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למה שאני אביא לך חשבוניות? מה את מס</w:t>
      </w:r>
      <w:bookmarkStart w:id="30" w:name="_ETM_Q_1392161"/>
      <w:bookmarkEnd w:id="30"/>
      <w:r>
        <w:rPr>
          <w:rFonts w:ascii="Arial" w:hAnsi="Arial" w:cs="David"/>
          <w:sz w:val="24"/>
          <w:szCs w:val="24"/>
          <w:u w:val="none"/>
          <w:rtl/>
        </w:rPr>
        <w:t xml:space="preserve"> הכנסה?</w:t>
      </w:r>
      <w:bookmarkStart w:id="31" w:name="_ETM_Q_1392949"/>
      <w:bookmarkEnd w:id="31"/>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 xml:space="preserve">כי, </w:t>
      </w:r>
    </w:p>
    <w:p w:rsidR="003B659A" w:rsidRDefault="003B659A" w:rsidP="003B659A">
      <w:pPr>
        <w:pStyle w:val="ad"/>
        <w:shd w:val="clear" w:color="auto" w:fill="auto"/>
        <w:spacing w:line="360" w:lineRule="auto"/>
        <w:ind w:hanging="1134"/>
        <w:jc w:val="both"/>
        <w:rPr>
          <w:rFonts w:ascii="Arial" w:hAnsi="Arial" w:cs="David"/>
          <w:sz w:val="24"/>
          <w:szCs w:val="24"/>
          <w:u w:val="none"/>
          <w:rtl/>
        </w:rPr>
      </w:pPr>
      <w:bookmarkStart w:id="32" w:name="_ETM_Q_1393732"/>
      <w:bookmarkEnd w:id="32"/>
      <w:r>
        <w:rPr>
          <w:rFonts w:ascii="Arial" w:hAnsi="Arial" w:cs="David"/>
          <w:sz w:val="24"/>
          <w:szCs w:val="24"/>
          <w:u w:val="none"/>
          <w:rtl/>
        </w:rPr>
        <w:t>ת:</w:t>
      </w:r>
      <w:r>
        <w:rPr>
          <w:rFonts w:ascii="Arial" w:hAnsi="Arial" w:cs="David"/>
          <w:sz w:val="24"/>
          <w:szCs w:val="24"/>
          <w:u w:val="none"/>
          <w:rtl/>
        </w:rPr>
        <w:tab/>
        <w:t>מה מה את? באיזה רשות את רוצה שאני אגיש לך חשבוניות? את בודקת את התיק שלי?</w:t>
      </w:r>
      <w:bookmarkStart w:id="33" w:name="_ETM_Q_1398220"/>
      <w:bookmarkEnd w:id="33"/>
      <w:r>
        <w:rPr>
          <w:rFonts w:ascii="Arial" w:hAnsi="Arial" w:cs="David"/>
          <w:sz w:val="24"/>
          <w:szCs w:val="24"/>
          <w:u w:val="none"/>
          <w:rtl/>
        </w:rPr>
        <w:t xml:space="preserve"> בתור יועצת מס? בתור מה?</w:t>
      </w:r>
      <w:bookmarkStart w:id="34" w:name="_ETM_Q_1402402"/>
      <w:bookmarkEnd w:id="34"/>
    </w:p>
    <w:p w:rsidR="003B659A" w:rsidRDefault="003B659A" w:rsidP="003B659A">
      <w:pPr>
        <w:pStyle w:val="ad"/>
        <w:shd w:val="clear" w:color="auto" w:fill="auto"/>
        <w:spacing w:line="360" w:lineRule="auto"/>
        <w:ind w:hanging="1134"/>
        <w:jc w:val="both"/>
        <w:rPr>
          <w:rFonts w:ascii="Arial" w:hAnsi="Arial" w:cs="David"/>
          <w:b w:val="0"/>
          <w:bCs w:val="0"/>
          <w:sz w:val="24"/>
          <w:szCs w:val="24"/>
          <w:u w:val="none"/>
          <w:rtl/>
        </w:rPr>
      </w:pPr>
      <w:r>
        <w:rPr>
          <w:rFonts w:ascii="Arial" w:hAnsi="Arial" w:cs="David"/>
          <w:b w:val="0"/>
          <w:bCs w:val="0"/>
          <w:sz w:val="24"/>
          <w:szCs w:val="24"/>
          <w:u w:val="none"/>
          <w:rtl/>
        </w:rPr>
        <w:t>(ראו: פרוט' מיום 13.4.2022, עמ' 33, שורות 34-19).</w:t>
      </w:r>
    </w:p>
    <w:p w:rsidR="003B659A" w:rsidRDefault="003B659A" w:rsidP="003B659A">
      <w:pPr>
        <w:pStyle w:val="af"/>
        <w:bidi/>
        <w:spacing w:after="0" w:line="360" w:lineRule="auto"/>
        <w:jc w:val="both"/>
        <w:rPr>
          <w:rFonts w:ascii="David" w:hAnsi="David" w:cs="David"/>
          <w:b/>
          <w:bCs/>
          <w:sz w:val="24"/>
          <w:szCs w:val="24"/>
          <w:rtl/>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לצד זאת, האם טוענת כי האב משתכר בסך של 30,000 ₪ בחודש, וכי אף רמת חייו מעידה על כך.  </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האב אישר בחקירתו, וכן בהסכם השכירות שצירף לכתב התביעה (צורף וסומן כנספח 3), כי הוא שוכר דירה בסך של 8,000 ₪ בחודש. מעבר לכך, כן הוא אישר בחקירתו כי הוא רכש לאחר פרידת הצדדים סוס בסך 36,000 ₪ (ראו: פרוט' מיום 13.4.2022, עמ' 27, שורות 21-9). לפיכך, עולה כי האב אכן חי ברמת חיים גבוהה.</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האב צירך מסמכים רפואיים בנספח 8 לתצהיר עדות ראשית. אמנם נכתב על כך בכתב יד: "חוייב לנוח 3 חודשים ואיך יעבוד?" אולם לא מדובר בקביעה רפואית מהמסמכים שהציג. האב לא הציג בצורה מלאה מסמכים המעידים כי לא יכל לעבוד חודשים כפי שטוען. יתרה מכך העדרם של חודשים מהכנסותיו חזר על עצמו גם בשנת 2020 וגם בשנת 2021. ללא כל הסבר. </w:t>
      </w:r>
    </w:p>
    <w:p w:rsidR="003B659A" w:rsidRDefault="003B659A" w:rsidP="003B659A">
      <w:pPr>
        <w:pStyle w:val="af"/>
        <w:bidi/>
        <w:spacing w:after="0" w:line="360" w:lineRule="auto"/>
        <w:ind w:left="567"/>
        <w:jc w:val="both"/>
        <w:rPr>
          <w:rFonts w:ascii="David" w:hAnsi="David" w:cs="David"/>
          <w:b/>
          <w:bCs/>
          <w:sz w:val="24"/>
          <w:szCs w:val="24"/>
          <w:rtl/>
          <w:lang w:bidi="he-IL"/>
        </w:rPr>
      </w:pPr>
    </w:p>
    <w:p w:rsidR="005438C7" w:rsidRDefault="005438C7" w:rsidP="003B659A">
      <w:pPr>
        <w:pStyle w:val="af"/>
        <w:bidi/>
        <w:spacing w:after="0" w:line="360" w:lineRule="auto"/>
        <w:ind w:left="567"/>
        <w:jc w:val="both"/>
        <w:rPr>
          <w:rFonts w:ascii="David" w:hAnsi="David" w:cs="David"/>
          <w:b/>
          <w:bCs/>
          <w:sz w:val="24"/>
          <w:szCs w:val="24"/>
          <w:rtl/>
          <w:lang w:bidi="he-IL"/>
        </w:rPr>
      </w:pPr>
    </w:p>
    <w:p w:rsidR="005438C7" w:rsidRDefault="005438C7" w:rsidP="003B659A">
      <w:pPr>
        <w:pStyle w:val="af"/>
        <w:bidi/>
        <w:spacing w:after="0" w:line="360" w:lineRule="auto"/>
        <w:ind w:left="567"/>
        <w:jc w:val="both"/>
        <w:rPr>
          <w:rFonts w:ascii="David" w:hAnsi="David" w:cs="David"/>
          <w:b/>
          <w:bCs/>
          <w:sz w:val="24"/>
          <w:szCs w:val="24"/>
          <w:rtl/>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lang w:bidi="he-IL"/>
        </w:rPr>
      </w:pPr>
      <w:r>
        <w:rPr>
          <w:rFonts w:ascii="David" w:hAnsi="David" w:cs="David"/>
          <w:sz w:val="24"/>
          <w:szCs w:val="24"/>
          <w:rtl/>
          <w:lang w:bidi="he-IL"/>
        </w:rPr>
        <w:lastRenderedPageBreak/>
        <w:t>אשר על כן, לאחר בחינת מכלול הנתונים, אני קובעת כי הכנסת האב עומדת על משוער של סך 23,000 ₪. אכן, האם טענה כי רמת החיים של האב מעידה כי סך הכנסותיו גבוה בכמה אלפי שקלים מהסך לו הוא טען, והאב אף אישר בחקירתו כי רמת החיים והיכולת הכלכלית שלו אכן גבוהה.</w:t>
      </w:r>
      <w:r>
        <w:rPr>
          <w:rFonts w:ascii="David" w:hAnsi="David" w:cs="David"/>
          <w:b/>
          <w:bCs/>
          <w:sz w:val="24"/>
          <w:szCs w:val="24"/>
          <w:rtl/>
          <w:lang w:bidi="he-IL"/>
        </w:rPr>
        <w:t xml:space="preserve"> </w:t>
      </w:r>
      <w:r>
        <w:rPr>
          <w:rFonts w:ascii="David" w:hAnsi="David" w:cs="David"/>
          <w:sz w:val="24"/>
          <w:szCs w:val="24"/>
          <w:rtl/>
          <w:lang w:bidi="he-IL"/>
        </w:rPr>
        <w:t xml:space="preserve">מהנתונים המעטים והחלקיים שהציג האב עולה כי הכנסתו הינה מעל ל-22,000 ₪. </w:t>
      </w:r>
      <w:r>
        <w:rPr>
          <w:rFonts w:ascii="David" w:hAnsi="David" w:cs="David"/>
          <w:b/>
          <w:bCs/>
          <w:sz w:val="24"/>
          <w:szCs w:val="24"/>
          <w:rtl/>
          <w:lang w:bidi="he-IL"/>
        </w:rPr>
        <w:t>אשר על כן אני קובעת כי הכנסתו הממוצעת של האב היא כ-23,000 ₪ נטו בחודש.</w:t>
      </w:r>
    </w:p>
    <w:p w:rsidR="003B659A" w:rsidRDefault="003B659A" w:rsidP="003B659A">
      <w:pPr>
        <w:pStyle w:val="af"/>
        <w:rPr>
          <w:rFonts w:ascii="David" w:hAnsi="David" w:cs="David"/>
          <w:b/>
          <w:bCs/>
          <w:sz w:val="24"/>
          <w:szCs w:val="24"/>
          <w:lang w:bidi="he-IL"/>
        </w:rPr>
      </w:pPr>
    </w:p>
    <w:p w:rsidR="003B659A" w:rsidRDefault="003B659A" w:rsidP="003B659A">
      <w:pPr>
        <w:pStyle w:val="af"/>
        <w:bidi/>
        <w:spacing w:after="0" w:line="360" w:lineRule="auto"/>
        <w:ind w:left="567"/>
        <w:jc w:val="both"/>
        <w:rPr>
          <w:rFonts w:ascii="David" w:hAnsi="David" w:cs="David"/>
          <w:b/>
          <w:bCs/>
          <w:sz w:val="24"/>
          <w:szCs w:val="24"/>
          <w:rtl/>
          <w:lang w:bidi="he-IL"/>
        </w:rPr>
      </w:pPr>
    </w:p>
    <w:p w:rsidR="003B659A" w:rsidRDefault="003B659A" w:rsidP="003B659A">
      <w:pPr>
        <w:spacing w:line="360" w:lineRule="auto"/>
        <w:jc w:val="both"/>
        <w:rPr>
          <w:rFonts w:ascii="David" w:hAnsi="David"/>
          <w:b/>
          <w:bCs/>
          <w:u w:val="single"/>
        </w:rPr>
      </w:pPr>
      <w:r>
        <w:rPr>
          <w:rFonts w:ascii="David" w:hAnsi="David"/>
          <w:b/>
          <w:bCs/>
          <w:u w:val="single"/>
          <w:rtl/>
        </w:rPr>
        <w:t>הכנסות האם</w:t>
      </w:r>
    </w:p>
    <w:p w:rsidR="003B659A" w:rsidRDefault="003B659A" w:rsidP="00852F6E">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sz w:val="24"/>
          <w:szCs w:val="24"/>
          <w:rtl/>
          <w:lang w:bidi="he-IL"/>
        </w:rPr>
        <w:t xml:space="preserve">לטענת </w:t>
      </w:r>
      <w:r>
        <w:rPr>
          <w:rFonts w:ascii="David" w:hAnsi="David" w:cs="David"/>
          <w:b/>
          <w:bCs/>
          <w:sz w:val="24"/>
          <w:szCs w:val="24"/>
          <w:rtl/>
          <w:lang w:bidi="he-IL"/>
        </w:rPr>
        <w:t>האב</w:t>
      </w:r>
      <w:r>
        <w:rPr>
          <w:rFonts w:ascii="David" w:hAnsi="David" w:cs="David"/>
          <w:sz w:val="24"/>
          <w:szCs w:val="24"/>
          <w:rtl/>
          <w:lang w:bidi="he-IL"/>
        </w:rPr>
        <w:t xml:space="preserve"> בכתב תביעתו, האם עובדת </w:t>
      </w:r>
      <w:r w:rsidR="003444A6">
        <w:rPr>
          <w:rFonts w:ascii="David" w:hAnsi="David" w:cs="David"/>
          <w:sz w:val="24"/>
          <w:szCs w:val="24"/>
          <w:rtl/>
          <w:lang w:bidi="he-IL"/>
        </w:rPr>
        <w:t>כ</w:t>
      </w:r>
      <w:r w:rsidR="003444A6">
        <w:rPr>
          <w:rFonts w:ascii="David" w:hAnsi="David" w:cs="David" w:hint="cs"/>
          <w:sz w:val="24"/>
          <w:szCs w:val="24"/>
          <w:rtl/>
          <w:lang w:bidi="he-IL"/>
        </w:rPr>
        <w:t>****</w:t>
      </w:r>
      <w:r w:rsidR="003444A6">
        <w:rPr>
          <w:rFonts w:ascii="David" w:hAnsi="David" w:cs="David"/>
          <w:sz w:val="24"/>
          <w:szCs w:val="24"/>
          <w:rtl/>
          <w:lang w:bidi="he-IL"/>
        </w:rPr>
        <w:t xml:space="preserve"> </w:t>
      </w:r>
      <w:r>
        <w:rPr>
          <w:rFonts w:ascii="David" w:hAnsi="David" w:cs="David"/>
          <w:sz w:val="24"/>
          <w:szCs w:val="24"/>
          <w:rtl/>
          <w:lang w:bidi="he-IL"/>
        </w:rPr>
        <w:t>באופן עצמאי, ומחזיקה בשני מכונים בבעלותה – האחד בבית מגוריהם המשותף ב</w:t>
      </w:r>
      <w:r w:rsidR="003444A6">
        <w:rPr>
          <w:rFonts w:ascii="David" w:hAnsi="David" w:cs="David" w:hint="cs"/>
          <w:sz w:val="24"/>
          <w:szCs w:val="24"/>
          <w:rtl/>
          <w:lang w:bidi="he-IL"/>
        </w:rPr>
        <w:t>***</w:t>
      </w:r>
      <w:r>
        <w:rPr>
          <w:rFonts w:ascii="David" w:hAnsi="David" w:cs="David"/>
          <w:sz w:val="24"/>
          <w:szCs w:val="24"/>
          <w:rtl/>
          <w:lang w:bidi="he-IL"/>
        </w:rPr>
        <w:t xml:space="preserve"> והשני ב</w:t>
      </w:r>
      <w:r w:rsidR="003444A6">
        <w:rPr>
          <w:rFonts w:ascii="David" w:hAnsi="David" w:cs="David" w:hint="cs"/>
          <w:sz w:val="24"/>
          <w:szCs w:val="24"/>
          <w:rtl/>
          <w:lang w:bidi="he-IL"/>
        </w:rPr>
        <w:t>***</w:t>
      </w:r>
      <w:r>
        <w:rPr>
          <w:rFonts w:ascii="David" w:hAnsi="David" w:cs="David"/>
          <w:sz w:val="24"/>
          <w:szCs w:val="24"/>
          <w:rtl/>
          <w:lang w:bidi="he-IL"/>
        </w:rPr>
        <w:t>. לטענתו של האב, רוב הכנסותיה הן במזומן, והוכח כי היא אף מסתירה את חלקן. שכן, על אף שהאם טענה בבית הדין הרבני שסגרה את המכון ב</w:t>
      </w:r>
      <w:r w:rsidR="003444A6">
        <w:rPr>
          <w:rFonts w:ascii="David" w:hAnsi="David" w:cs="David" w:hint="cs"/>
          <w:sz w:val="24"/>
          <w:szCs w:val="24"/>
          <w:rtl/>
          <w:lang w:bidi="he-IL"/>
        </w:rPr>
        <w:t>***</w:t>
      </w:r>
      <w:r>
        <w:rPr>
          <w:rFonts w:ascii="David" w:hAnsi="David" w:cs="David"/>
          <w:sz w:val="24"/>
          <w:szCs w:val="24"/>
          <w:rtl/>
          <w:lang w:bidi="he-IL"/>
        </w:rPr>
        <w:t>, האב טוען כי הוכיח כי ההפך הוא הנכון, שכן הוא הגיש כראיה קבלה של אחת הלקוחות בעבור שירות שקיבלה במכון ב</w:t>
      </w:r>
      <w:r w:rsidR="003C76EE">
        <w:rPr>
          <w:rFonts w:ascii="David" w:hAnsi="David" w:cs="David" w:hint="cs"/>
          <w:sz w:val="24"/>
          <w:szCs w:val="24"/>
          <w:rtl/>
          <w:lang w:bidi="he-IL"/>
        </w:rPr>
        <w:t>***</w:t>
      </w:r>
      <w:r>
        <w:rPr>
          <w:rFonts w:ascii="David" w:hAnsi="David" w:cs="David"/>
          <w:sz w:val="24"/>
          <w:szCs w:val="24"/>
          <w:rtl/>
          <w:lang w:bidi="he-IL"/>
        </w:rPr>
        <w:t xml:space="preserve"> מאותה תקופה ממש (צורף וסומן כנספח 6 לכתב תביעתו של האב). </w:t>
      </w:r>
    </w:p>
    <w:p w:rsidR="003B659A" w:rsidRDefault="003B659A" w:rsidP="003B659A">
      <w:pPr>
        <w:pStyle w:val="af"/>
        <w:bidi/>
        <w:spacing w:after="0" w:line="360" w:lineRule="auto"/>
        <w:ind w:left="567"/>
        <w:jc w:val="both"/>
        <w:rPr>
          <w:rFonts w:ascii="David" w:hAnsi="David" w:cs="David"/>
          <w:b/>
          <w:bCs/>
          <w:sz w:val="24"/>
          <w:szCs w:val="24"/>
          <w:u w:val="single"/>
          <w:lang w:bidi="he-IL"/>
        </w:rPr>
      </w:pPr>
    </w:p>
    <w:p w:rsidR="003B659A" w:rsidRDefault="003B659A" w:rsidP="00852F6E">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sz w:val="24"/>
          <w:szCs w:val="24"/>
          <w:rtl/>
          <w:lang w:bidi="he-IL"/>
        </w:rPr>
        <w:t xml:space="preserve">לפיכך, הן בכתב תביעתו והן בסיכומיו, </w:t>
      </w:r>
      <w:r>
        <w:rPr>
          <w:rFonts w:ascii="David" w:hAnsi="David" w:cs="David"/>
          <w:b/>
          <w:bCs/>
          <w:sz w:val="24"/>
          <w:szCs w:val="24"/>
          <w:rtl/>
          <w:lang w:bidi="he-IL"/>
        </w:rPr>
        <w:t>האב</w:t>
      </w:r>
      <w:r>
        <w:rPr>
          <w:rFonts w:ascii="David" w:hAnsi="David" w:cs="David"/>
          <w:sz w:val="24"/>
          <w:szCs w:val="24"/>
          <w:rtl/>
          <w:lang w:bidi="he-IL"/>
        </w:rPr>
        <w:t xml:space="preserve"> טוען כי האם מכניסה כספים רבים משני מכוני </w:t>
      </w:r>
      <w:r w:rsidR="003C76EE">
        <w:rPr>
          <w:rFonts w:ascii="David" w:hAnsi="David" w:cs="David" w:hint="cs"/>
          <w:sz w:val="24"/>
          <w:szCs w:val="24"/>
          <w:rtl/>
          <w:lang w:bidi="he-IL"/>
        </w:rPr>
        <w:t>ה***</w:t>
      </w:r>
      <w:r w:rsidR="003C76EE">
        <w:rPr>
          <w:rFonts w:ascii="David" w:hAnsi="David" w:cs="David"/>
          <w:sz w:val="24"/>
          <w:szCs w:val="24"/>
          <w:rtl/>
          <w:lang w:bidi="he-IL"/>
        </w:rPr>
        <w:t xml:space="preserve"> </w:t>
      </w:r>
      <w:r>
        <w:rPr>
          <w:rFonts w:ascii="David" w:hAnsi="David" w:cs="David"/>
          <w:sz w:val="24"/>
          <w:szCs w:val="24"/>
          <w:rtl/>
          <w:lang w:bidi="he-IL"/>
        </w:rPr>
        <w:t>שפועלים מבוקר ועד ערב, וזאת בניגוד להצהרותיה השגויות, כפי שהוכח על ידו. האב בכתבי טענותיו לא נקב בסכום מסוים אותו מרוויחה האם, אך בהרצאת הפרטים ציין כי היא הצהירה על סך של 5,300 ₪.</w:t>
      </w:r>
    </w:p>
    <w:p w:rsidR="003B659A" w:rsidRDefault="003B659A" w:rsidP="00852F6E">
      <w:pPr>
        <w:pStyle w:val="af"/>
        <w:bidi/>
        <w:spacing w:after="0" w:line="360" w:lineRule="auto"/>
        <w:ind w:left="567"/>
        <w:jc w:val="both"/>
        <w:rPr>
          <w:rFonts w:ascii="David" w:hAnsi="David" w:cs="David"/>
          <w:noProof/>
          <w:sz w:val="24"/>
          <w:szCs w:val="24"/>
          <w:lang w:bidi="he-IL"/>
        </w:rPr>
      </w:pPr>
      <w:r>
        <w:rPr>
          <w:rFonts w:ascii="David" w:hAnsi="David" w:cs="David"/>
          <w:sz w:val="24"/>
          <w:szCs w:val="24"/>
          <w:rtl/>
          <w:lang w:bidi="he-IL"/>
        </w:rPr>
        <w:t xml:space="preserve">לטענת </w:t>
      </w:r>
      <w:r>
        <w:rPr>
          <w:rFonts w:ascii="David" w:hAnsi="David" w:cs="David"/>
          <w:b/>
          <w:bCs/>
          <w:sz w:val="24"/>
          <w:szCs w:val="24"/>
          <w:rtl/>
          <w:lang w:bidi="he-IL"/>
        </w:rPr>
        <w:t>האב</w:t>
      </w:r>
      <w:r>
        <w:rPr>
          <w:rFonts w:ascii="David" w:hAnsi="David" w:cs="David"/>
          <w:sz w:val="24"/>
          <w:szCs w:val="24"/>
          <w:rtl/>
          <w:lang w:bidi="he-IL"/>
        </w:rPr>
        <w:t xml:space="preserve">, מצבה הכלכלי של האם טוב אף בהרבה מזה שהיא מתארת. שכן, היא עתידה לקבל לבעלותה 8 דירות בירושה מידיד משפחה קרוב. כמו כן, כראייה לכך הוצגו בחקירתה קבלות על סך של כ- 900,000 ₪ של מכונות שהיא רכשה עבור </w:t>
      </w:r>
      <w:r w:rsidR="003C76EE">
        <w:rPr>
          <w:rFonts w:ascii="David" w:hAnsi="David" w:cs="David" w:hint="cs"/>
          <w:sz w:val="24"/>
          <w:szCs w:val="24"/>
          <w:rtl/>
          <w:lang w:bidi="he-IL"/>
        </w:rPr>
        <w:t>****</w:t>
      </w:r>
      <w:r>
        <w:rPr>
          <w:rFonts w:ascii="David" w:hAnsi="David" w:cs="David"/>
          <w:sz w:val="24"/>
          <w:szCs w:val="24"/>
          <w:rtl/>
          <w:lang w:bidi="he-IL"/>
        </w:rPr>
        <w:t>, והיא אף אישרה זאת בחקירתה והצהירה שלקחה הלוואות עבור כך (צורפו כמוצגים ת/3-1; ראו:</w:t>
      </w:r>
      <w:r>
        <w:rPr>
          <w:rFonts w:ascii="David" w:hAnsi="David" w:cs="David"/>
          <w:noProof/>
          <w:sz w:val="24"/>
          <w:szCs w:val="24"/>
          <w:rtl/>
          <w:lang w:bidi="he-IL"/>
        </w:rPr>
        <w:t xml:space="preserve"> פרוט' מיום 13.4.2022, עמ' 57, שורות 14-13).</w:t>
      </w:r>
    </w:p>
    <w:p w:rsidR="003B659A" w:rsidRDefault="003B659A" w:rsidP="003B659A">
      <w:pPr>
        <w:pStyle w:val="af"/>
        <w:bidi/>
        <w:spacing w:after="0" w:line="360" w:lineRule="auto"/>
        <w:ind w:left="567"/>
        <w:jc w:val="both"/>
        <w:rPr>
          <w:rFonts w:ascii="David" w:hAnsi="David" w:cs="David"/>
          <w:b/>
          <w:bCs/>
          <w:sz w:val="24"/>
          <w:szCs w:val="24"/>
          <w:u w:val="single"/>
          <w:rtl/>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האם</w:t>
      </w:r>
      <w:r>
        <w:rPr>
          <w:rFonts w:ascii="David" w:hAnsi="David" w:cs="David"/>
          <w:sz w:val="24"/>
          <w:szCs w:val="24"/>
          <w:rtl/>
          <w:lang w:bidi="he-IL"/>
        </w:rPr>
        <w:t xml:space="preserve"> טוענת כי שכרה הממוצע עומד כיום על סך של כ-3,000 ₪ לחודש. לטענתה, מאז תקופת הקורונה וכן מאז ניתוק הקשר המשפחתי עם הבנות, מצבה הנפשי רעוע ומקשה עליה לתפקד ולעבוד כפי שהייתה עושה בעבר. </w:t>
      </w:r>
      <w:r>
        <w:rPr>
          <w:rFonts w:ascii="David" w:hAnsi="David" w:cs="David"/>
          <w:b/>
          <w:bCs/>
          <w:sz w:val="24"/>
          <w:szCs w:val="24"/>
          <w:rtl/>
          <w:lang w:bidi="he-IL"/>
        </w:rPr>
        <w:t>לטענת האם</w:t>
      </w:r>
      <w:r>
        <w:rPr>
          <w:rFonts w:ascii="David" w:hAnsi="David" w:cs="David"/>
          <w:sz w:val="24"/>
          <w:szCs w:val="24"/>
          <w:rtl/>
          <w:lang w:bidi="he-IL"/>
        </w:rPr>
        <w:t>, נוסף על כך רובצים לה חובות כבדים, כפי שניתן לראות בדפי חשבון הבנק שלה אשר צורפו במסגרת הנספחים לתצהיר העדות הראשית של האם (צורף אך לא סומן).</w:t>
      </w:r>
    </w:p>
    <w:p w:rsidR="003B659A" w:rsidRDefault="003B659A" w:rsidP="003B659A">
      <w:pPr>
        <w:pStyle w:val="af"/>
        <w:bidi/>
        <w:spacing w:after="0" w:line="360" w:lineRule="auto"/>
        <w:ind w:left="567"/>
        <w:jc w:val="both"/>
        <w:rPr>
          <w:rFonts w:ascii="David" w:hAnsi="David" w:cs="David"/>
          <w:b/>
          <w:bCs/>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האם לא הגישה כתב הגנה בתביעת האב למזונות. </w:t>
      </w:r>
    </w:p>
    <w:p w:rsidR="003B659A" w:rsidRDefault="003B659A" w:rsidP="003B659A">
      <w:pPr>
        <w:pStyle w:val="af"/>
        <w:rPr>
          <w:rFonts w:ascii="David" w:hAnsi="David" w:cs="David"/>
          <w:sz w:val="24"/>
          <w:szCs w:val="24"/>
          <w:lang w:bidi="he-IL"/>
        </w:rPr>
      </w:pPr>
    </w:p>
    <w:p w:rsidR="001014B1" w:rsidRDefault="001014B1" w:rsidP="001014B1">
      <w:pPr>
        <w:pStyle w:val="af"/>
        <w:bidi/>
        <w:spacing w:after="0" w:line="360" w:lineRule="auto"/>
        <w:ind w:left="567"/>
        <w:jc w:val="both"/>
        <w:rPr>
          <w:rFonts w:ascii="David" w:hAnsi="David" w:cs="David"/>
          <w:sz w:val="24"/>
          <w:szCs w:val="24"/>
          <w:lang w:bidi="he-IL"/>
        </w:rPr>
      </w:pPr>
    </w:p>
    <w:p w:rsidR="001014B1" w:rsidRPr="001014B1" w:rsidRDefault="001014B1" w:rsidP="001014B1">
      <w:pPr>
        <w:bidi w:val="0"/>
        <w:rPr>
          <w:rFonts w:ascii="David" w:hAnsi="David"/>
          <w:rt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lastRenderedPageBreak/>
        <w:t>לתצהיר עדות ראשית של האם, היא צירפה פירוט של דפי החשבון שלה מתאריכים 7.11.2021-31.3.2022 אשר מעיד כי היא נמצאת בגירעון תמידי בחשבון הבנק שלה, וכי רובצות לה הלוואות שעליה להמשיך לשלם – בסך 185,474 ₪ נכון ליום 31.12.2020. עם זאת, מדפי החשבון של האם בתקופה זו עולה כי לצד הגירעון התמידי, ישנן הכנסות – שלא ניתן לדעת או לשייך מהיכן בדיוק הן מגיעות (הופקדו בשיקים, ביט וכדומה) – לחשבון האם העומדות על סך של כ - 7,600 ₪ לחודש בממוצע. בנוסף, האם צירפה לתצהירה דו"ח רווח והפסד לשנת 2021, במסגרתו עולה כי הרווח הנקי של העסק בבעלותה עומד על סך 31,177 ₪.</w:t>
      </w:r>
    </w:p>
    <w:p w:rsidR="003B659A" w:rsidRDefault="003B659A" w:rsidP="003B659A">
      <w:pPr>
        <w:pStyle w:val="af"/>
        <w:bidi/>
        <w:spacing w:after="0" w:line="360" w:lineRule="auto"/>
        <w:ind w:left="567"/>
        <w:jc w:val="both"/>
        <w:rPr>
          <w:rFonts w:ascii="David" w:hAnsi="David" w:cs="David"/>
          <w:b/>
          <w:bCs/>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לאור האמור לעיל, לא הוכח כי האם משתכרת בסכומים גבוהים מאוד כפי שטען האב. אולם, גם הסכום שלו טענה האם נראה נמוך באופן יחסי, בהתחשב בסכומים המופקדים לחשבון הבנק שלה, וכן בהתחשב בהוצאותיה אשר הוכחו בפניי במהלך דיוני ההוכחות. האם אמנם הציגה מספר מסמכים כתימוכין לטענותיה, אך לא ניתן ללמוד מהם על הכנסותיה המדויקות מתוך העסק שבבעלותה, שכן כל אחד מהמסמכים מציג תמונה שונה.</w:t>
      </w:r>
    </w:p>
    <w:p w:rsidR="003B659A" w:rsidRDefault="003B659A" w:rsidP="003B659A">
      <w:pPr>
        <w:pStyle w:val="af"/>
        <w:bidi/>
        <w:spacing w:after="0" w:line="360" w:lineRule="auto"/>
        <w:ind w:left="567"/>
        <w:jc w:val="both"/>
        <w:rPr>
          <w:rFonts w:ascii="David" w:hAnsi="David" w:cs="David"/>
          <w:b/>
          <w:bCs/>
          <w:sz w:val="24"/>
          <w:szCs w:val="24"/>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אשר על כן, ולאחר בחינת ושקילת מכלול הראיות והעדויות, אני קובעת כי ממוצע הכנסותיה של האם עומד על סך של לכל הפחות 6,000 ₪ נטו לחודש.</w:t>
      </w:r>
    </w:p>
    <w:p w:rsidR="003B659A" w:rsidRDefault="003B659A" w:rsidP="003B659A">
      <w:pPr>
        <w:pStyle w:val="af"/>
        <w:rPr>
          <w:rFonts w:ascii="David" w:hAnsi="David" w:cs="David"/>
          <w:b/>
          <w:bCs/>
          <w:sz w:val="24"/>
          <w:szCs w:val="24"/>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rtl/>
          <w:lang w:bidi="he-IL"/>
        </w:rPr>
      </w:pPr>
      <w:r>
        <w:rPr>
          <w:rFonts w:ascii="David" w:hAnsi="David" w:cs="David"/>
          <w:b/>
          <w:bCs/>
          <w:sz w:val="24"/>
          <w:szCs w:val="24"/>
          <w:rtl/>
          <w:lang w:bidi="he-IL"/>
        </w:rPr>
        <w:t xml:space="preserve">עולה מכך כי יחס ההכנסות בין ההורים הוא: 79% האב – 21% האם. </w:t>
      </w:r>
    </w:p>
    <w:p w:rsidR="003B659A" w:rsidRDefault="003B659A" w:rsidP="003B659A">
      <w:pPr>
        <w:pStyle w:val="af"/>
        <w:bidi/>
        <w:spacing w:after="0" w:line="360" w:lineRule="auto"/>
        <w:ind w:left="567"/>
        <w:jc w:val="both"/>
        <w:rPr>
          <w:rFonts w:ascii="David" w:hAnsi="David" w:cs="David"/>
          <w:b/>
          <w:bCs/>
          <w:sz w:val="24"/>
          <w:szCs w:val="24"/>
          <w:lang w:bidi="he-IL"/>
        </w:rPr>
      </w:pPr>
    </w:p>
    <w:p w:rsidR="003B659A" w:rsidRDefault="003B659A" w:rsidP="003B659A">
      <w:pPr>
        <w:spacing w:line="360" w:lineRule="auto"/>
        <w:jc w:val="both"/>
        <w:rPr>
          <w:rFonts w:ascii="David" w:hAnsi="David"/>
          <w:b/>
          <w:bCs/>
          <w:u w:val="single"/>
          <w:rtl/>
        </w:rPr>
      </w:pPr>
      <w:r>
        <w:rPr>
          <w:rFonts w:ascii="David" w:hAnsi="David"/>
          <w:b/>
          <w:bCs/>
          <w:u w:val="single"/>
          <w:rtl/>
        </w:rPr>
        <w:t>זמני שהות</w:t>
      </w:r>
    </w:p>
    <w:p w:rsidR="003B659A" w:rsidRDefault="003B659A" w:rsidP="003B659A">
      <w:pPr>
        <w:spacing w:line="360" w:lineRule="auto"/>
        <w:jc w:val="both"/>
        <w:rPr>
          <w:rFonts w:ascii="David" w:hAnsi="David"/>
          <w:b/>
          <w:bCs/>
          <w:u w:val="single"/>
          <w:rt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נכון להיום, הבנות מתגוררות אצל האב ומקיימות קשר חלקי ביותר עם האם. לפיכך, לצורך הדיון זמני השהות הם 100% אצל האב.</w:t>
      </w:r>
    </w:p>
    <w:p w:rsidR="003B659A" w:rsidRDefault="003B659A" w:rsidP="003B659A">
      <w:pPr>
        <w:pStyle w:val="af"/>
        <w:bidi/>
        <w:spacing w:after="0" w:line="360" w:lineRule="auto"/>
        <w:ind w:left="567"/>
        <w:jc w:val="both"/>
        <w:rPr>
          <w:rFonts w:ascii="David" w:hAnsi="David" w:cs="David"/>
          <w:b/>
          <w:bCs/>
          <w:sz w:val="24"/>
          <w:szCs w:val="24"/>
          <w:lang w:bidi="he-IL"/>
        </w:rPr>
      </w:pPr>
    </w:p>
    <w:p w:rsidR="003B659A" w:rsidRDefault="003B659A" w:rsidP="003B659A">
      <w:pPr>
        <w:spacing w:line="360" w:lineRule="auto"/>
        <w:jc w:val="both"/>
        <w:rPr>
          <w:rFonts w:ascii="David" w:hAnsi="David"/>
          <w:b/>
          <w:bCs/>
          <w:u w:val="single"/>
          <w:rtl/>
        </w:rPr>
      </w:pPr>
      <w:r>
        <w:rPr>
          <w:rFonts w:ascii="David" w:hAnsi="David"/>
          <w:b/>
          <w:bCs/>
          <w:u w:val="single"/>
          <w:rtl/>
        </w:rPr>
        <w:t>צרכי הבנות</w:t>
      </w:r>
    </w:p>
    <w:p w:rsidR="003B659A" w:rsidRDefault="003B659A" w:rsidP="003B659A">
      <w:pPr>
        <w:spacing w:line="360" w:lineRule="auto"/>
        <w:jc w:val="both"/>
        <w:rPr>
          <w:rFonts w:ascii="David" w:hAnsi="David"/>
          <w:b/>
          <w:bCs/>
          <w:u w:val="single"/>
          <w:rtl/>
        </w:rPr>
      </w:pPr>
    </w:p>
    <w:p w:rsidR="003B659A" w:rsidRPr="00852F6E" w:rsidRDefault="003B659A" w:rsidP="003B659A">
      <w:pPr>
        <w:pStyle w:val="af"/>
        <w:numPr>
          <w:ilvl w:val="0"/>
          <w:numId w:val="1"/>
        </w:numPr>
        <w:bidi/>
        <w:spacing w:after="0" w:line="360" w:lineRule="auto"/>
        <w:jc w:val="both"/>
        <w:rPr>
          <w:rFonts w:ascii="David" w:hAnsi="David" w:cs="David"/>
          <w:sz w:val="24"/>
          <w:szCs w:val="24"/>
          <w:rtl/>
          <w:lang w:bidi="he-IL"/>
        </w:rPr>
      </w:pPr>
      <w:r w:rsidRPr="00852F6E">
        <w:rPr>
          <w:rFonts w:ascii="David" w:hAnsi="David" w:cs="David"/>
          <w:b/>
          <w:bCs/>
          <w:sz w:val="24"/>
          <w:szCs w:val="24"/>
          <w:rtl/>
          <w:lang w:bidi="he-IL"/>
        </w:rPr>
        <w:t>האב</w:t>
      </w:r>
      <w:r w:rsidRPr="00852F6E">
        <w:rPr>
          <w:rFonts w:ascii="David" w:hAnsi="David" w:cs="David"/>
          <w:sz w:val="24"/>
          <w:szCs w:val="24"/>
          <w:rtl/>
          <w:lang w:bidi="he-IL"/>
        </w:rPr>
        <w:t xml:space="preserve"> לא פירט את צרכי הקטינות בכתבי טענותיו אלא הפנה לתביעת האם למזונות וציין:</w:t>
      </w:r>
    </w:p>
    <w:p w:rsidR="003B659A" w:rsidRDefault="00852F6E" w:rsidP="003B659A">
      <w:pPr>
        <w:pStyle w:val="af"/>
        <w:bidi/>
        <w:spacing w:after="0" w:line="360" w:lineRule="auto"/>
        <w:ind w:left="567"/>
        <w:jc w:val="both"/>
        <w:rPr>
          <w:rFonts w:ascii="David" w:hAnsi="David" w:cs="David"/>
          <w:sz w:val="24"/>
          <w:szCs w:val="24"/>
          <w:lang w:bidi="he-IL"/>
        </w:rPr>
      </w:pPr>
      <w:r>
        <w:rPr>
          <w:rFonts w:ascii="David" w:hAnsi="David" w:cs="David"/>
          <w:noProof/>
          <w:sz w:val="24"/>
          <w:szCs w:val="24"/>
          <w:lang w:bidi="he-IL"/>
        </w:rPr>
        <w:drawing>
          <wp:inline distT="0" distB="0" distL="0" distR="0">
            <wp:extent cx="5073015" cy="755650"/>
            <wp:effectExtent l="0" t="0" r="0" b="635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3015" cy="755650"/>
                    </a:xfrm>
                    <a:prstGeom prst="rect">
                      <a:avLst/>
                    </a:prstGeom>
                    <a:noFill/>
                    <a:ln>
                      <a:noFill/>
                    </a:ln>
                  </pic:spPr>
                </pic:pic>
              </a:graphicData>
            </a:graphic>
          </wp:inline>
        </w:drawing>
      </w: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לטענת </w:t>
      </w:r>
      <w:r>
        <w:rPr>
          <w:rFonts w:ascii="David" w:hAnsi="David" w:cs="David"/>
          <w:b/>
          <w:bCs/>
          <w:sz w:val="24"/>
          <w:szCs w:val="24"/>
          <w:rtl/>
          <w:lang w:bidi="he-IL"/>
        </w:rPr>
        <w:t>האב</w:t>
      </w:r>
      <w:r>
        <w:rPr>
          <w:rFonts w:ascii="David" w:hAnsi="David" w:cs="David"/>
          <w:sz w:val="24"/>
          <w:szCs w:val="24"/>
          <w:rtl/>
          <w:lang w:bidi="he-IL"/>
        </w:rPr>
        <w:t xml:space="preserve"> בכתב התביעה ובסיכומיו, לאחר שעזב יחד עם הבנות את ביתם המשותף של הצדדים, הוא נאלץ להשכיר דירה למגורים בסמוך לבית הספר בו הבנות לומדות, בסך של 8,000 ₪ לחודש (חוזה שכירות צורף על ידי האב בנספח 11 לתצהיר עדות ראשית). </w:t>
      </w: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lastRenderedPageBreak/>
        <w:t>לטענתו של</w:t>
      </w:r>
      <w:r w:rsidR="00FE0A12">
        <w:rPr>
          <w:rFonts w:ascii="David" w:hAnsi="David" w:cs="David" w:hint="cs"/>
          <w:sz w:val="24"/>
          <w:szCs w:val="24"/>
          <w:rtl/>
          <w:lang w:bidi="he-IL"/>
        </w:rPr>
        <w:t xml:space="preserve"> </w:t>
      </w:r>
      <w:r>
        <w:rPr>
          <w:rFonts w:ascii="David" w:hAnsi="David" w:cs="David"/>
          <w:sz w:val="24"/>
          <w:szCs w:val="24"/>
          <w:rtl/>
          <w:lang w:bidi="he-IL"/>
        </w:rPr>
        <w:t>האב, על התובעת לשלם סך של 4,540 ₪ כדמי מזונות עבור כל אחת מהבנות, וכן עותר כי נוסף על כך תועבר אליו קצבת הבנות מהמוסד לביטוח לאומי – אשר מועברת ישירות לחשבון הבנק של האם.</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852F6E">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לטענת </w:t>
      </w:r>
      <w:r>
        <w:rPr>
          <w:rFonts w:ascii="David" w:hAnsi="David" w:cs="David"/>
          <w:b/>
          <w:bCs/>
          <w:sz w:val="24"/>
          <w:szCs w:val="24"/>
          <w:rtl/>
          <w:lang w:bidi="he-IL"/>
        </w:rPr>
        <w:t>האם</w:t>
      </w:r>
      <w:r>
        <w:rPr>
          <w:rFonts w:ascii="David" w:hAnsi="David" w:cs="David"/>
          <w:sz w:val="24"/>
          <w:szCs w:val="24"/>
          <w:rtl/>
          <w:lang w:bidi="he-IL"/>
        </w:rPr>
        <w:t xml:space="preserve">, האב לא הוכיח את הוצאותיו בשל צרכי הבנות, ולא צירף ולו מסמך אחד התומך בגרסתו. לטענתה, האב אף לא הצליח לנמק בחקירתו מדוע לא צירף אסמכתאות כתימוכין לטענותיו, ולכן לא הצליח לבסס מבחינה עובדתית את כתב תביעתו. אי לכך, יש להורות על דחיית התביעה ולחלופין, לפטור את האם מחובת מזונותיה של הבת הבגירה </w:t>
      </w:r>
      <w:r w:rsidR="00852F6E">
        <w:rPr>
          <w:rFonts w:ascii="David" w:hAnsi="David" w:cs="David" w:hint="cs"/>
          <w:sz w:val="24"/>
          <w:szCs w:val="24"/>
          <w:rtl/>
          <w:lang w:bidi="he-IL"/>
        </w:rPr>
        <w:t>***</w:t>
      </w:r>
      <w:r>
        <w:rPr>
          <w:rFonts w:ascii="David" w:hAnsi="David" w:cs="David"/>
          <w:sz w:val="24"/>
          <w:szCs w:val="24"/>
          <w:rtl/>
          <w:lang w:bidi="he-IL"/>
        </w:rPr>
        <w:t>.</w:t>
      </w:r>
    </w:p>
    <w:p w:rsidR="003B659A" w:rsidRDefault="003B659A" w:rsidP="003B659A">
      <w:pPr>
        <w:pStyle w:val="af"/>
        <w:bidi/>
        <w:spacing w:after="0" w:line="360" w:lineRule="auto"/>
        <w:ind w:left="567"/>
        <w:jc w:val="both"/>
        <w:rPr>
          <w:rFonts w:ascii="David" w:hAnsi="David" w:cs="David"/>
          <w:b/>
          <w:bCs/>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לאחר שמיעת חקירות הצדדים, טענות הצדדים והראיות שהובאו על ידם, אני קובעת כי האב לא הוכיח את צרכי הבנות.</w:t>
      </w:r>
    </w:p>
    <w:p w:rsidR="003B659A" w:rsidRDefault="003B659A" w:rsidP="003B659A">
      <w:pPr>
        <w:pStyle w:val="af"/>
        <w:bidi/>
        <w:spacing w:after="0" w:line="360" w:lineRule="auto"/>
        <w:ind w:left="567"/>
        <w:jc w:val="both"/>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sz w:val="24"/>
          <w:szCs w:val="24"/>
          <w:u w:val="single"/>
          <w:lang w:bidi="he-IL"/>
        </w:rPr>
      </w:pPr>
      <w:r>
        <w:rPr>
          <w:rFonts w:ascii="David" w:hAnsi="David" w:cs="David"/>
          <w:sz w:val="24"/>
          <w:szCs w:val="24"/>
          <w:rtl/>
          <w:lang w:bidi="he-IL"/>
        </w:rPr>
        <w:t xml:space="preserve">האב לא פירט ולא צירף אסמכתאות באף שלב בהליך: לא בכתב התביעה, לא בתצהיר העדות הראשית ולא בסיכומיו, מהו שיעור ההוצאות אשר בגינן הוא תובע את מזונות הבנות. כדי להוכיח את תביעתו, על האב היה לצרף קבלות והוכחות על הוצאותיו השונות בגין גידול הבנות, אשר על בסיסן הוא מבקש לקבוע את הסכום המבוקש. כך, למשל, עליו היה לצרף קבלות על אודות הוצאות מזון וכלכלת הבית, ביגוד והנעלה, הוצאות שוטפות, חוגים ובילויים. </w:t>
      </w:r>
    </w:p>
    <w:p w:rsidR="003B659A" w:rsidRDefault="003B659A" w:rsidP="003B659A">
      <w:pPr>
        <w:pStyle w:val="af"/>
        <w:bidi/>
        <w:spacing w:after="0" w:line="360" w:lineRule="auto"/>
        <w:ind w:left="567"/>
        <w:jc w:val="both"/>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sz w:val="24"/>
          <w:szCs w:val="24"/>
          <w:u w:val="single"/>
          <w:lang w:bidi="he-IL"/>
        </w:rPr>
      </w:pPr>
      <w:r>
        <w:rPr>
          <w:rFonts w:ascii="David" w:hAnsi="David" w:cs="David"/>
          <w:sz w:val="24"/>
          <w:szCs w:val="24"/>
          <w:rtl/>
          <w:lang w:bidi="he-IL"/>
        </w:rPr>
        <w:t xml:space="preserve">יובהר כי אף אם אתייחס להפניות אשר ביקש לעשות האב, לנספחים בכתב תביעתה של האם למזונות, הריי שאין בכך כדי להוכיח את תביעתו. ראשית, משום שמלכתחילה גם בכתב התביעה שם האם לא צורפו די מסמכים המוכיחים את ההוצאות על הבנות; ושנית, מאחר שלא ניתן לבסס את הוצאותיו של האב באופן של הפנייה לטענות של </w:t>
      </w:r>
      <w:r>
        <w:rPr>
          <w:rFonts w:ascii="David" w:hAnsi="David" w:cs="David"/>
          <w:sz w:val="24"/>
          <w:szCs w:val="24"/>
          <w:u w:val="single"/>
          <w:rtl/>
          <w:lang w:bidi="he-IL"/>
        </w:rPr>
        <w:t>האם</w:t>
      </w:r>
      <w:r>
        <w:rPr>
          <w:rFonts w:ascii="David" w:hAnsi="David" w:cs="David"/>
          <w:sz w:val="24"/>
          <w:szCs w:val="24"/>
          <w:rtl/>
          <w:lang w:bidi="he-IL"/>
        </w:rPr>
        <w:t xml:space="preserve"> בהליך אחר – על כך ועל כך בלבד – כפי שביקש לעשות האב. תביעת האם אינה מספקת – כשלעצמה – כדי להוות בסיס לתביעת האב. </w:t>
      </w:r>
    </w:p>
    <w:p w:rsidR="003B659A" w:rsidRDefault="003B659A" w:rsidP="003B659A">
      <w:pPr>
        <w:pStyle w:val="af"/>
        <w:bidi/>
        <w:spacing w:after="0" w:line="360" w:lineRule="auto"/>
        <w:ind w:left="567"/>
        <w:jc w:val="both"/>
        <w:rPr>
          <w:rFonts w:ascii="David" w:hAnsi="David" w:cs="David"/>
          <w:b/>
          <w:bCs/>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ויובהר, בתביעת מזונות ישנה חשיבות ומשמעות רבה להוכחת הוצאותיו בפועל של האב כתובע, ביחס לתקופה שהחלה ממועד פרידת הצדדים ואילך. על האב היה להראות ולהוכיח את הוצאותיו בהתאם למועד שלאחר פרידת הצדדים, ולהציג את הוצאותיו למצב שהוא מכלכל את הבנות ללא האם. קרי, הוצאות אשר, אשר עליהן – ובעיקר עליהן – אמורה לסמוך תביעתו. </w:t>
      </w:r>
    </w:p>
    <w:p w:rsidR="003B659A" w:rsidRDefault="003B659A" w:rsidP="003B659A">
      <w:pPr>
        <w:pStyle w:val="af"/>
        <w:bidi/>
        <w:spacing w:after="0" w:line="360" w:lineRule="auto"/>
        <w:ind w:left="567"/>
        <w:jc w:val="both"/>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sz w:val="24"/>
          <w:szCs w:val="24"/>
          <w:rtl/>
          <w:lang w:bidi="he-IL"/>
        </w:rPr>
        <w:t xml:space="preserve">המסמכים אשר צירף האב לכתב תביעתו לצורך הוכחת הוצאותיו הסתכמו בהעתק חוזה השכירות על סך 8,000 ₪ לחודש (צורף וסומן נספח 11 לתצהיר האב). יודגש כי גם הנספחים אשר צירף האב לכתב הגנתו בתביעת המזונות של האם, לא עולים לכדי מסמכים שיש בהם לבסס את הוצאותיו. שכן, כל ההוצאות אשר הוגשו במסגרת כתב ההגנה של האב, מסתכמים בהוצאות שהיו רלבנטיות למועד </w:t>
      </w:r>
      <w:r>
        <w:rPr>
          <w:rFonts w:ascii="David" w:hAnsi="David" w:cs="David"/>
          <w:sz w:val="24"/>
          <w:szCs w:val="24"/>
          <w:u w:val="single"/>
          <w:rtl/>
          <w:lang w:bidi="he-IL"/>
        </w:rPr>
        <w:t>שלפני</w:t>
      </w:r>
      <w:r>
        <w:rPr>
          <w:rFonts w:ascii="David" w:hAnsi="David" w:cs="David"/>
          <w:sz w:val="24"/>
          <w:szCs w:val="24"/>
          <w:rtl/>
          <w:lang w:bidi="he-IL"/>
        </w:rPr>
        <w:t xml:space="preserve"> פרידת הצדדים, ולא לתקופה שלאחר מועד זה – אשר </w:t>
      </w:r>
      <w:r>
        <w:rPr>
          <w:rFonts w:ascii="David" w:hAnsi="David" w:cs="David"/>
          <w:sz w:val="24"/>
          <w:szCs w:val="24"/>
          <w:rtl/>
          <w:lang w:bidi="he-IL"/>
        </w:rPr>
        <w:lastRenderedPageBreak/>
        <w:t xml:space="preserve">ביחס אליה מוגשת התביעה בה עסקינן. כך, למשל, צורפו קבלות מקניות של אוכל ברשתות הסופרמרקט השונות מתאריכים 12.1.2020; 21.1.2020; 13.2.2020; 14.2.2020. </w:t>
      </w:r>
    </w:p>
    <w:p w:rsidR="003B659A" w:rsidRDefault="003B659A" w:rsidP="003B659A">
      <w:pPr>
        <w:pStyle w:val="af"/>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sz w:val="24"/>
          <w:szCs w:val="24"/>
          <w:u w:val="single"/>
          <w:rtl/>
          <w:lang w:bidi="he-IL"/>
        </w:rPr>
      </w:pPr>
      <w:r>
        <w:rPr>
          <w:rFonts w:ascii="David" w:hAnsi="David" w:cs="David"/>
          <w:sz w:val="24"/>
          <w:szCs w:val="24"/>
          <w:rtl/>
          <w:lang w:bidi="he-IL"/>
        </w:rPr>
        <w:t xml:space="preserve">אשר על כן, אני קובעת כי האב לא הוכיח את צרכי הבנות במסגרת שהותן אצלו. </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u w:val="single"/>
          <w:rtl/>
          <w:lang w:bidi="he-IL"/>
        </w:rPr>
      </w:pPr>
      <w:r>
        <w:rPr>
          <w:rFonts w:ascii="David" w:hAnsi="David" w:cs="David"/>
          <w:sz w:val="24"/>
          <w:szCs w:val="24"/>
          <w:rtl/>
          <w:lang w:bidi="he-IL"/>
        </w:rPr>
        <w:t xml:space="preserve">עם זאת אין מחלוקת כי האב נושא בהוצאות הקטינות במלואן (למעט מה שנקבע בהחלטה למזונות זמניים כי הצדדים יתחלקו בו). </w:t>
      </w:r>
    </w:p>
    <w:p w:rsidR="003B659A" w:rsidRDefault="003B659A" w:rsidP="003B659A">
      <w:pPr>
        <w:pStyle w:val="af"/>
        <w:rPr>
          <w:rFonts w:ascii="David" w:hAnsi="David" w:cs="David"/>
          <w:sz w:val="24"/>
          <w:szCs w:val="24"/>
          <w:highlight w:val="yellow"/>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לאור פערי ההשתכרות המשמעותיים בין הצדדים ביחס של: 79% האב – 21% האם ולאור נסיבות הליך זה, סב</w:t>
      </w:r>
      <w:r w:rsidR="00FE0A12">
        <w:rPr>
          <w:rFonts w:ascii="David" w:hAnsi="David" w:cs="David" w:hint="cs"/>
          <w:sz w:val="24"/>
          <w:szCs w:val="24"/>
          <w:rtl/>
          <w:lang w:bidi="he-IL"/>
        </w:rPr>
        <w:t>רת</w:t>
      </w:r>
      <w:r>
        <w:rPr>
          <w:rFonts w:ascii="David" w:hAnsi="David" w:cs="David"/>
          <w:sz w:val="24"/>
          <w:szCs w:val="24"/>
          <w:rtl/>
          <w:lang w:bidi="he-IL"/>
        </w:rPr>
        <w:t>י כי האיזון הנכון הוא חיוב שני ההורים לשאת בחלקים שווים (ולא על פי יחס ההכנסות בהוצאות מסויימות של הקטינות) ללא העברת סכומים נוספים ביניהם.</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אני סבורה כי בראיה הכללית הדבר גם משרת את טובת הקטינות ואת נסיבות המשפחה. חיוב האם במחצית מההוצאות למרות פער ההכנסות בין הצדדים מהווה התחשבות ניכרת במחיית הבנות אצל האב ונותן לכך מענה שלם וכולל. </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u w:val="single"/>
          <w:rtl/>
          <w:lang w:bidi="he-IL"/>
        </w:rPr>
        <w:t>תחילת מועד תשלום וחלוקת ההוצאות הנוספות בין ההורים</w:t>
      </w:r>
      <w:r>
        <w:rPr>
          <w:rFonts w:ascii="David" w:hAnsi="David" w:cs="David"/>
          <w:sz w:val="24"/>
          <w:szCs w:val="24"/>
          <w:rtl/>
          <w:lang w:bidi="he-IL"/>
        </w:rPr>
        <w:t xml:space="preserve"> – האב עותר כי ייקבע חיוב רטרואקטיבי החל מיום פרידת הצדדים, קרי מיום 1.4.2020. האב הגיש את התביעה ביום 29.11.2020. האם לא התייחסה בכתבי טענותיה למועד התשלום ממנו יחול החיוב. </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ביום 11.11.2021 נקבע על ידי כי אין מקום לחייב את מי מהצדדים במזונות השוטפים, וכי הצדדים יישאו בחלקים שווים בכל הוצאות החינוך של הקטינות וכן ישאו בחלקים שווים בכל ההוצאות הרפואיות החריגות שאינן מכוסות במסגרת ביטוח הבריאות הממלכתי, לרבות הטיפול הרגשי של שתי הקטינות. </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b/>
          <w:bCs/>
          <w:sz w:val="24"/>
          <w:szCs w:val="24"/>
          <w:rtl/>
          <w:lang w:bidi="he-IL"/>
        </w:rPr>
        <w:t xml:space="preserve">לאחר בחינת טענות הצדדים יש מקום להורות על חלוקה זו </w:t>
      </w:r>
      <w:r>
        <w:rPr>
          <w:rFonts w:ascii="David" w:hAnsi="David" w:cs="David"/>
          <w:b/>
          <w:bCs/>
          <w:sz w:val="24"/>
          <w:szCs w:val="24"/>
          <w:u w:val="single"/>
          <w:rtl/>
          <w:lang w:bidi="he-IL"/>
        </w:rPr>
        <w:t>החל מחודש 4/2020</w:t>
      </w:r>
      <w:r>
        <w:rPr>
          <w:rFonts w:ascii="David" w:hAnsi="David" w:cs="David"/>
          <w:sz w:val="24"/>
          <w:szCs w:val="24"/>
          <w:u w:val="single"/>
          <w:rtl/>
          <w:lang w:bidi="he-IL"/>
        </w:rPr>
        <w:t>.</w:t>
      </w:r>
      <w:r>
        <w:rPr>
          <w:rFonts w:ascii="David" w:hAnsi="David" w:cs="David"/>
          <w:sz w:val="24"/>
          <w:szCs w:val="24"/>
          <w:rtl/>
          <w:lang w:bidi="he-IL"/>
        </w:rPr>
        <w:t xml:space="preserve"> אין סיבה כי בחודשים אלה לאחר הפרדת המגורים לא תהיה נשיאה משותפת בהוצאות הבנות.</w:t>
      </w:r>
    </w:p>
    <w:p w:rsidR="003B659A" w:rsidRDefault="003B659A" w:rsidP="003B659A">
      <w:pPr>
        <w:pStyle w:val="af"/>
        <w:rPr>
          <w:rFonts w:ascii="David" w:hAnsi="David" w:cs="David"/>
          <w:sz w:val="24"/>
          <w:szCs w:val="24"/>
          <w:lang w:bidi="he-IL"/>
        </w:rPr>
      </w:pPr>
    </w:p>
    <w:p w:rsidR="003B659A" w:rsidRDefault="003B659A" w:rsidP="00852F6E">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b/>
          <w:bCs/>
          <w:sz w:val="24"/>
          <w:szCs w:val="24"/>
          <w:rtl/>
          <w:lang w:bidi="he-IL"/>
        </w:rPr>
        <w:t xml:space="preserve">אשר על כן אני מורה כי החל מחודש 4/2020 יישאו שני ההורים בחלקים שווים בכל הוצאות החינוך של הבנות וכן ישאו בחלקים שווים בכל ההוצאות הרפואיות החריגות שאינן מכוסות במסגרת ביטוח הבריאות הממלכתי, לרבות הטיפול הרגשי של שתי הבנות (כולל הבת הבגירה </w:t>
      </w:r>
      <w:r w:rsidR="003C76EE">
        <w:rPr>
          <w:rFonts w:ascii="David" w:hAnsi="David" w:cs="David" w:hint="cs"/>
          <w:b/>
          <w:bCs/>
          <w:sz w:val="24"/>
          <w:szCs w:val="24"/>
          <w:rtl/>
          <w:lang w:bidi="he-IL"/>
        </w:rPr>
        <w:t>***</w:t>
      </w:r>
      <w:r>
        <w:rPr>
          <w:rFonts w:ascii="David" w:hAnsi="David" w:cs="David"/>
          <w:b/>
          <w:bCs/>
          <w:sz w:val="24"/>
          <w:szCs w:val="24"/>
          <w:rtl/>
          <w:lang w:bidi="he-IL"/>
        </w:rPr>
        <w:t xml:space="preserve">). </w:t>
      </w:r>
    </w:p>
    <w:p w:rsidR="003B659A" w:rsidRDefault="003B659A" w:rsidP="003B659A">
      <w:pPr>
        <w:pStyle w:val="af"/>
        <w:rPr>
          <w:rFonts w:ascii="David" w:hAnsi="David" w:cs="David"/>
          <w:b/>
          <w:bCs/>
          <w:sz w:val="24"/>
          <w:szCs w:val="24"/>
          <w:u w:val="single"/>
          <w:rtl/>
          <w:lang w:bidi="he-IL"/>
        </w:rPr>
      </w:pPr>
    </w:p>
    <w:p w:rsidR="001014B1" w:rsidRDefault="001014B1" w:rsidP="001014B1">
      <w:pPr>
        <w:pStyle w:val="af"/>
        <w:rPr>
          <w:rFonts w:ascii="David" w:hAnsi="David" w:cs="David"/>
          <w:b/>
          <w:bCs/>
          <w:sz w:val="24"/>
          <w:szCs w:val="24"/>
          <w:u w:val="single"/>
          <w:rtl/>
          <w:lang w:bidi="he-IL"/>
        </w:rPr>
      </w:pPr>
    </w:p>
    <w:p w:rsidR="001014B1" w:rsidRDefault="001014B1" w:rsidP="001014B1">
      <w:pPr>
        <w:pStyle w:val="af"/>
        <w:rPr>
          <w:rFonts w:ascii="David" w:hAnsi="David" w:cs="David"/>
          <w:b/>
          <w:bCs/>
          <w:sz w:val="24"/>
          <w:szCs w:val="24"/>
          <w:u w:val="single"/>
          <w:rtl/>
          <w:lang w:bidi="he-IL"/>
        </w:rPr>
      </w:pPr>
    </w:p>
    <w:p w:rsidR="001014B1" w:rsidRDefault="001014B1" w:rsidP="001014B1">
      <w:pPr>
        <w:pStyle w:val="af"/>
        <w:rPr>
          <w:rFonts w:ascii="David" w:hAnsi="David" w:cs="David"/>
          <w:b/>
          <w:bCs/>
          <w:sz w:val="24"/>
          <w:szCs w:val="24"/>
          <w:u w:val="single"/>
          <w:rtl/>
          <w:lang w:bidi="he-IL"/>
        </w:rPr>
      </w:pPr>
    </w:p>
    <w:p w:rsidR="001014B1" w:rsidRDefault="001014B1" w:rsidP="001014B1">
      <w:pPr>
        <w:pStyle w:val="af"/>
        <w:rPr>
          <w:rFonts w:ascii="David" w:hAnsi="David" w:cs="David"/>
          <w:sz w:val="24"/>
          <w:szCs w:val="24"/>
          <w:rtl/>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b/>
          <w:bCs/>
          <w:sz w:val="24"/>
          <w:szCs w:val="24"/>
          <w:u w:val="single"/>
          <w:rtl/>
          <w:lang w:bidi="he-IL"/>
        </w:rPr>
        <w:lastRenderedPageBreak/>
        <w:t>קצבת המל"ל ומענק הלימודים מהמל"ל -</w:t>
      </w:r>
      <w:r>
        <w:rPr>
          <w:rFonts w:ascii="David" w:hAnsi="David" w:cs="David"/>
          <w:sz w:val="24"/>
          <w:szCs w:val="24"/>
          <w:u w:val="single"/>
          <w:rtl/>
          <w:lang w:bidi="he-IL"/>
        </w:rPr>
        <w:t xml:space="preserve"> </w:t>
      </w:r>
      <w:r>
        <w:rPr>
          <w:rFonts w:ascii="David" w:hAnsi="David" w:cs="David"/>
          <w:sz w:val="24"/>
          <w:szCs w:val="24"/>
          <w:rtl/>
          <w:lang w:bidi="he-IL"/>
        </w:rPr>
        <w:t xml:space="preserve">בנוסף, לכך ולאור שהות הבנות עם האב בעיקרו של דבר, אני קובעת כי קצבת הילדים מהמל"ל וכן מענק בתחילת שנה"ל שקיבלה האם – יהיה חלק מתשלום הוצאות הקטינות. קרי ההתחשבות תהיה כי בכל חודש זכאים שני ההורים בחלקים שווים ביניהם לקצבת הילדים מהמל"ל ובתחילת שנה"ל למחצית ממענק הלימודים. הדברים לוקחים בחשבון כי הוריתי על תשלום הוצאות חינוך ורפואה בחלקים שווים. </w:t>
      </w:r>
    </w:p>
    <w:p w:rsidR="003B659A" w:rsidRDefault="003B659A" w:rsidP="003B659A">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t>על כן על האם להשיב לאב מחצית מהסכומים שקיבלה לידיה בגין קצבת המל"ל ובגין מענק הלימודים מהמל"ל מחודש 4/2020 ועד הגיעה של כל קטינה לגיל 18.</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ככל שתהיינה מחלוקות לגבי חיובי עבר והתחשבנויות הן תתנהלנה בהוצאה לפועל. </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b/>
          <w:bCs/>
          <w:sz w:val="24"/>
          <w:szCs w:val="24"/>
          <w:u w:val="single"/>
          <w:rtl/>
          <w:lang w:bidi="he-IL"/>
        </w:rPr>
        <w:t>חיוב בתקופת הצבא או שירות לאומי –</w:t>
      </w:r>
      <w:r>
        <w:rPr>
          <w:rFonts w:ascii="David" w:hAnsi="David" w:cs="David"/>
          <w:sz w:val="24"/>
          <w:szCs w:val="24"/>
          <w:rtl/>
          <w:lang w:bidi="he-IL"/>
        </w:rPr>
        <w:t xml:space="preserve"> ההורים ימשיכו וישאו בהוצאות רפואה חריגות ככל שתהיינה עד סיום תקופת השירות הצבאי או השירות הלאומי בלבד.</w:t>
      </w:r>
    </w:p>
    <w:p w:rsidR="003B659A" w:rsidRDefault="003B659A" w:rsidP="003B659A">
      <w:pPr>
        <w:pStyle w:val="af"/>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sz w:val="24"/>
          <w:szCs w:val="24"/>
          <w:u w:val="single"/>
          <w:lang w:bidi="he-IL"/>
        </w:rPr>
      </w:pPr>
      <w:r>
        <w:rPr>
          <w:rFonts w:ascii="David" w:hAnsi="David" w:cs="David"/>
          <w:sz w:val="24"/>
          <w:szCs w:val="24"/>
          <w:rtl/>
          <w:lang w:bidi="he-IL"/>
        </w:rPr>
        <w:t>לאור האמור</w:t>
      </w:r>
      <w:r>
        <w:rPr>
          <w:rFonts w:ascii="David" w:hAnsi="David" w:cs="Times New Roman"/>
          <w:sz w:val="24"/>
          <w:szCs w:val="24"/>
          <w:rtl/>
        </w:rPr>
        <w:t xml:space="preserve">, </w:t>
      </w:r>
      <w:r>
        <w:rPr>
          <w:rFonts w:ascii="David" w:hAnsi="David" w:cs="David"/>
          <w:sz w:val="24"/>
          <w:szCs w:val="24"/>
          <w:rtl/>
          <w:lang w:bidi="he-IL"/>
        </w:rPr>
        <w:t>ניתנות בזה ההוראות הבאות באשר לדמי המזונות</w:t>
      </w:r>
      <w:r>
        <w:rPr>
          <w:rFonts w:ascii="David" w:hAnsi="David" w:cs="Times New Roman"/>
          <w:sz w:val="24"/>
          <w:szCs w:val="24"/>
          <w:rtl/>
        </w:rPr>
        <w:t>:</w:t>
      </w:r>
    </w:p>
    <w:p w:rsidR="003B659A" w:rsidRDefault="003B659A" w:rsidP="003B659A">
      <w:pPr>
        <w:pStyle w:val="af"/>
        <w:spacing w:after="0" w:line="360" w:lineRule="auto"/>
        <w:rPr>
          <w:rFonts w:ascii="David" w:eastAsia="Times New Roman" w:hAnsi="David" w:cs="David"/>
          <w:b/>
          <w:bCs/>
          <w:sz w:val="24"/>
          <w:szCs w:val="24"/>
        </w:rPr>
      </w:pPr>
    </w:p>
    <w:p w:rsidR="003B659A" w:rsidRDefault="003B659A" w:rsidP="00852F6E">
      <w:pPr>
        <w:pStyle w:val="af"/>
        <w:numPr>
          <w:ilvl w:val="0"/>
          <w:numId w:val="3"/>
        </w:numPr>
        <w:bidi/>
        <w:spacing w:after="0" w:line="360" w:lineRule="auto"/>
        <w:jc w:val="both"/>
        <w:rPr>
          <w:rFonts w:ascii="David" w:hAnsi="David" w:cs="David"/>
          <w:sz w:val="24"/>
          <w:szCs w:val="24"/>
          <w:rtl/>
        </w:rPr>
      </w:pPr>
      <w:r>
        <w:rPr>
          <w:rFonts w:ascii="David" w:hAnsi="David" w:cs="David"/>
          <w:sz w:val="24"/>
          <w:szCs w:val="24"/>
          <w:rtl/>
          <w:lang w:bidi="he-IL"/>
        </w:rPr>
        <w:t xml:space="preserve">החל מחודש 4/2020 שני ההורים ישאו שווה בשווה בכל ההוצאות הרפואיות החריגות שאינן מכוסות במסגרת ביטוח הבריאות הממלכתי, לרבות הטיפול הרגשי של שתי הבנות (כולל הבת הבגירה </w:t>
      </w:r>
      <w:r w:rsidR="003C76EE">
        <w:rPr>
          <w:rFonts w:ascii="David" w:hAnsi="David" w:cs="David" w:hint="cs"/>
          <w:sz w:val="24"/>
          <w:szCs w:val="24"/>
          <w:rtl/>
          <w:lang w:bidi="he-IL"/>
        </w:rPr>
        <w:t>***</w:t>
      </w:r>
      <w:r>
        <w:rPr>
          <w:rFonts w:ascii="David" w:hAnsi="David" w:cs="David"/>
          <w:sz w:val="24"/>
          <w:szCs w:val="24"/>
          <w:rtl/>
          <w:lang w:bidi="he-IL"/>
        </w:rPr>
        <w:t>).</w:t>
      </w:r>
    </w:p>
    <w:p w:rsidR="003B659A" w:rsidRDefault="003B659A" w:rsidP="003B659A">
      <w:pPr>
        <w:pStyle w:val="af"/>
        <w:bidi/>
        <w:spacing w:after="0" w:line="360" w:lineRule="auto"/>
        <w:ind w:left="927"/>
        <w:jc w:val="both"/>
        <w:rPr>
          <w:rFonts w:ascii="David" w:hAnsi="David" w:cs="David"/>
          <w:sz w:val="24"/>
          <w:szCs w:val="24"/>
          <w:lang w:bidi="he-IL"/>
        </w:rPr>
      </w:pPr>
      <w:r>
        <w:rPr>
          <w:rFonts w:ascii="David" w:hAnsi="David" w:cs="David"/>
          <w:sz w:val="24"/>
          <w:szCs w:val="24"/>
          <w:rtl/>
          <w:lang w:bidi="he-IL"/>
        </w:rPr>
        <w:t xml:space="preserve">חלוקה זו תהיה עד סיום תקופת השירות הצבאי או השירות הלאומי בלבד. </w:t>
      </w:r>
    </w:p>
    <w:p w:rsidR="003B659A" w:rsidRDefault="003B659A" w:rsidP="003B659A">
      <w:pPr>
        <w:pStyle w:val="af"/>
        <w:bidi/>
        <w:spacing w:after="0" w:line="360" w:lineRule="auto"/>
        <w:ind w:left="927"/>
        <w:jc w:val="both"/>
        <w:rPr>
          <w:rFonts w:ascii="David" w:hAnsi="David" w:cs="David"/>
          <w:sz w:val="24"/>
          <w:szCs w:val="24"/>
          <w:lang w:bidi="he-IL"/>
        </w:rPr>
      </w:pPr>
    </w:p>
    <w:p w:rsidR="003B659A" w:rsidRDefault="003B659A" w:rsidP="003B659A">
      <w:pPr>
        <w:pStyle w:val="af"/>
        <w:numPr>
          <w:ilvl w:val="0"/>
          <w:numId w:val="3"/>
        </w:numPr>
        <w:bidi/>
        <w:spacing w:after="0" w:line="360" w:lineRule="auto"/>
        <w:jc w:val="both"/>
        <w:rPr>
          <w:rFonts w:ascii="David" w:hAnsi="David" w:cs="David"/>
          <w:sz w:val="24"/>
          <w:szCs w:val="24"/>
        </w:rPr>
      </w:pPr>
      <w:r>
        <w:rPr>
          <w:rFonts w:ascii="David" w:hAnsi="David" w:cs="David"/>
          <w:sz w:val="24"/>
          <w:szCs w:val="24"/>
          <w:rtl/>
          <w:lang w:bidi="he-IL"/>
        </w:rPr>
        <w:t>החל מחודש 4/2020 שני ההורים ישאו שווה בשווה בכל הוצאות החינוך של הבנות. חלוקה זו תהיה עד תום לימודים בכיתה י"ב של כל אחת מהבנות.</w:t>
      </w:r>
    </w:p>
    <w:p w:rsidR="003B659A" w:rsidRDefault="003B659A" w:rsidP="003B659A">
      <w:pPr>
        <w:pStyle w:val="af"/>
        <w:rPr>
          <w:rFonts w:ascii="David" w:hAnsi="David" w:cs="David"/>
          <w:sz w:val="24"/>
          <w:szCs w:val="24"/>
        </w:rPr>
      </w:pPr>
    </w:p>
    <w:p w:rsidR="003B659A" w:rsidRDefault="003B659A" w:rsidP="003B659A">
      <w:pPr>
        <w:pStyle w:val="af"/>
        <w:numPr>
          <w:ilvl w:val="0"/>
          <w:numId w:val="3"/>
        </w:numPr>
        <w:bidi/>
        <w:spacing w:after="0" w:line="360" w:lineRule="auto"/>
        <w:jc w:val="both"/>
        <w:rPr>
          <w:rFonts w:ascii="David" w:hAnsi="David" w:cs="David"/>
          <w:sz w:val="24"/>
          <w:szCs w:val="24"/>
          <w:rtl/>
        </w:rPr>
      </w:pPr>
      <w:r>
        <w:rPr>
          <w:rFonts w:ascii="David" w:hAnsi="David" w:cs="David"/>
          <w:sz w:val="24"/>
          <w:szCs w:val="24"/>
          <w:rtl/>
          <w:lang w:bidi="he-IL"/>
        </w:rPr>
        <w:t>סכום שלא שולם במועדו יישא ריבית והפרשי הצמדה כחוק בין היום שנועד לתשלום לבין הפירעון המלא בפועל</w:t>
      </w:r>
      <w:r>
        <w:rPr>
          <w:rFonts w:ascii="David" w:hAnsi="David" w:cs="Times New Roman"/>
          <w:sz w:val="24"/>
          <w:szCs w:val="24"/>
          <w:rtl/>
        </w:rPr>
        <w:t xml:space="preserve">. </w:t>
      </w:r>
    </w:p>
    <w:p w:rsidR="003B659A" w:rsidRDefault="003B659A" w:rsidP="003B659A">
      <w:pPr>
        <w:pStyle w:val="af"/>
        <w:rPr>
          <w:rFonts w:ascii="David" w:hAnsi="David" w:cs="David"/>
          <w:sz w:val="24"/>
          <w:szCs w:val="24"/>
        </w:rPr>
      </w:pPr>
    </w:p>
    <w:p w:rsidR="003B659A" w:rsidRDefault="003B659A" w:rsidP="003B659A">
      <w:pPr>
        <w:pStyle w:val="af"/>
        <w:numPr>
          <w:ilvl w:val="0"/>
          <w:numId w:val="3"/>
        </w:numPr>
        <w:bidi/>
        <w:spacing w:after="0" w:line="360" w:lineRule="auto"/>
        <w:jc w:val="both"/>
        <w:rPr>
          <w:rFonts w:ascii="David" w:hAnsi="David" w:cs="David"/>
          <w:sz w:val="24"/>
          <w:szCs w:val="24"/>
          <w:rtl/>
          <w:lang w:bidi="he-IL"/>
        </w:rPr>
      </w:pPr>
      <w:r>
        <w:rPr>
          <w:rFonts w:ascii="David" w:hAnsi="David" w:cs="David"/>
          <w:b/>
          <w:bCs/>
          <w:sz w:val="24"/>
          <w:szCs w:val="24"/>
          <w:u w:val="single"/>
          <w:rtl/>
          <w:lang w:bidi="he-IL"/>
        </w:rPr>
        <w:t>קצבת המל"ל ומענק הלימודים מהמל"ל -</w:t>
      </w:r>
      <w:r>
        <w:rPr>
          <w:rFonts w:ascii="David" w:hAnsi="David" w:cs="David"/>
          <w:sz w:val="24"/>
          <w:szCs w:val="24"/>
          <w:rtl/>
          <w:lang w:bidi="he-IL"/>
        </w:rPr>
        <w:t xml:space="preserve"> אני קובעת כי קצבת הילדים מהמל"ל וכן מענק בתחילת שנה"ל שקיבלה האם – יהיה חלק מתשלום הוצאות הקטינות. קרי ההתחשבות תהיה כי בכל חודש זכאים שני ההורים בחלקים שווים ביניהם לקצבת הילדים מהמל"ל ובתחילת שנה"ל למחצית ממענק הלימודים. על כן על האם להשיב לאב מחצית מהסכומים שקיבלה לידיה בגין קצבת המל"ל ובגין מענק הלימודים מהמל"ל מחודש 4/2020 ועד הגיעה של כל קטינה לגיל 18.</w:t>
      </w:r>
    </w:p>
    <w:p w:rsidR="001014B1" w:rsidRDefault="001014B1" w:rsidP="001014B1">
      <w:pPr>
        <w:pStyle w:val="af"/>
        <w:bidi/>
        <w:spacing w:after="0" w:line="360" w:lineRule="auto"/>
        <w:ind w:left="567"/>
        <w:jc w:val="both"/>
        <w:rPr>
          <w:rFonts w:ascii="David" w:hAnsi="David" w:cs="David"/>
          <w:sz w:val="24"/>
          <w:szCs w:val="24"/>
        </w:rPr>
      </w:pPr>
    </w:p>
    <w:p w:rsidR="001014B1" w:rsidRDefault="001014B1" w:rsidP="001014B1">
      <w:pPr>
        <w:pStyle w:val="af"/>
        <w:bidi/>
        <w:spacing w:after="0" w:line="360" w:lineRule="auto"/>
        <w:ind w:left="567"/>
        <w:jc w:val="both"/>
        <w:rPr>
          <w:rFonts w:ascii="David" w:hAnsi="David" w:cs="David"/>
          <w:sz w:val="24"/>
          <w:szCs w:val="24"/>
        </w:rPr>
      </w:pPr>
    </w:p>
    <w:p w:rsidR="003B659A" w:rsidRDefault="003B659A" w:rsidP="003B659A">
      <w:pPr>
        <w:pStyle w:val="af"/>
        <w:numPr>
          <w:ilvl w:val="0"/>
          <w:numId w:val="1"/>
        </w:numPr>
        <w:bidi/>
        <w:spacing w:after="0" w:line="360" w:lineRule="auto"/>
        <w:jc w:val="both"/>
        <w:rPr>
          <w:rFonts w:ascii="David" w:hAnsi="David" w:cs="David"/>
          <w:sz w:val="24"/>
          <w:szCs w:val="24"/>
          <w:rtl/>
        </w:rPr>
      </w:pPr>
      <w:r>
        <w:rPr>
          <w:rFonts w:ascii="David" w:hAnsi="David" w:cs="David"/>
          <w:sz w:val="24"/>
          <w:szCs w:val="24"/>
          <w:rtl/>
          <w:lang w:bidi="he-IL"/>
        </w:rPr>
        <w:lastRenderedPageBreak/>
        <w:t xml:space="preserve">האב עותר לקבל לידיו מהאם את פנקסי החיסונים של הבנות והדרכונים שלהן – סעד זה אינו כלול לסעדי מזונות כלל. האב הסתפק בנימוק – מאחר והבנות נמצאות עימו. האם לא התייחסה לרכיב זה כלל. מאחר ורכיב זה לא נומק בצורה מספקת ולאור כך שהושג בתביעת מזונות, אין מקום ליתן הוראות נוספות לגביו. </w:t>
      </w:r>
    </w:p>
    <w:p w:rsidR="003B659A" w:rsidRDefault="003B659A" w:rsidP="003B659A">
      <w:pPr>
        <w:pStyle w:val="af"/>
        <w:spacing w:after="0" w:line="360" w:lineRule="auto"/>
        <w:rPr>
          <w:rFonts w:ascii="David" w:hAnsi="David" w:cs="David"/>
          <w:sz w:val="24"/>
          <w:szCs w:val="24"/>
          <w:rtl/>
        </w:rPr>
      </w:pPr>
    </w:p>
    <w:p w:rsidR="003B659A" w:rsidRDefault="003B659A" w:rsidP="003B659A">
      <w:pPr>
        <w:pStyle w:val="af"/>
        <w:numPr>
          <w:ilvl w:val="0"/>
          <w:numId w:val="1"/>
        </w:numPr>
        <w:bidi/>
        <w:spacing w:after="0" w:line="360" w:lineRule="auto"/>
        <w:jc w:val="both"/>
        <w:rPr>
          <w:rFonts w:ascii="David" w:hAnsi="David" w:cs="David"/>
          <w:sz w:val="24"/>
          <w:szCs w:val="24"/>
        </w:rPr>
      </w:pPr>
      <w:r>
        <w:rPr>
          <w:rFonts w:ascii="David" w:hAnsi="David" w:cs="David"/>
          <w:b/>
          <w:bCs/>
          <w:sz w:val="24"/>
          <w:szCs w:val="24"/>
          <w:u w:val="single"/>
          <w:rtl/>
          <w:lang w:bidi="he-IL"/>
        </w:rPr>
        <w:t>הוצאות ההליך</w:t>
      </w:r>
      <w:r>
        <w:rPr>
          <w:rFonts w:ascii="David" w:hAnsi="David" w:cs="Times New Roman"/>
          <w:sz w:val="24"/>
          <w:szCs w:val="24"/>
          <w:rtl/>
        </w:rPr>
        <w:t xml:space="preserve"> –  </w:t>
      </w:r>
      <w:r>
        <w:rPr>
          <w:rFonts w:ascii="David" w:hAnsi="David" w:cs="David"/>
          <w:sz w:val="24"/>
          <w:szCs w:val="24"/>
          <w:rtl/>
          <w:lang w:bidi="he-IL"/>
        </w:rPr>
        <w:t>לאור התוצאה אליה הגעתי אין צו להוצאות</w:t>
      </w:r>
      <w:r>
        <w:rPr>
          <w:rFonts w:ascii="David" w:hAnsi="David" w:cs="Times New Roman"/>
          <w:sz w:val="24"/>
          <w:szCs w:val="24"/>
          <w:rtl/>
        </w:rPr>
        <w:t xml:space="preserve">. </w:t>
      </w:r>
    </w:p>
    <w:p w:rsidR="003B659A" w:rsidRDefault="003B659A" w:rsidP="003B659A">
      <w:pPr>
        <w:pStyle w:val="af"/>
        <w:spacing w:after="0" w:line="360" w:lineRule="auto"/>
        <w:ind w:left="567"/>
        <w:jc w:val="both"/>
        <w:rPr>
          <w:rFonts w:ascii="David" w:hAnsi="David" w:cs="David"/>
          <w:sz w:val="24"/>
          <w:szCs w:val="24"/>
        </w:rPr>
      </w:pPr>
    </w:p>
    <w:p w:rsidR="003B659A" w:rsidRDefault="003B659A" w:rsidP="003B659A">
      <w:pPr>
        <w:pStyle w:val="af"/>
        <w:numPr>
          <w:ilvl w:val="0"/>
          <w:numId w:val="1"/>
        </w:numPr>
        <w:bidi/>
        <w:spacing w:after="0" w:line="360" w:lineRule="auto"/>
        <w:jc w:val="both"/>
        <w:rPr>
          <w:rFonts w:ascii="David" w:hAnsi="David" w:cs="David"/>
          <w:sz w:val="24"/>
          <w:szCs w:val="24"/>
          <w:rtl/>
        </w:rPr>
      </w:pPr>
      <w:r>
        <w:rPr>
          <w:rFonts w:ascii="David" w:hAnsi="David" w:cs="David"/>
          <w:b/>
          <w:bCs/>
          <w:sz w:val="24"/>
          <w:szCs w:val="24"/>
          <w:u w:val="single"/>
          <w:rtl/>
          <w:lang w:bidi="he-IL"/>
        </w:rPr>
        <w:t>המזכירות</w:t>
      </w:r>
      <w:r>
        <w:rPr>
          <w:rFonts w:ascii="David" w:hAnsi="David" w:cs="David"/>
          <w:b/>
          <w:bCs/>
          <w:sz w:val="24"/>
          <w:szCs w:val="24"/>
          <w:rtl/>
          <w:lang w:bidi="he-IL"/>
        </w:rPr>
        <w:t xml:space="preserve"> </w:t>
      </w:r>
      <w:r>
        <w:rPr>
          <w:rFonts w:ascii="David" w:hAnsi="David" w:cs="David"/>
          <w:sz w:val="24"/>
          <w:szCs w:val="24"/>
          <w:rtl/>
          <w:lang w:bidi="he-IL"/>
        </w:rPr>
        <w:t>תסגור את תמ"ש 70455-11-20</w:t>
      </w:r>
      <w:r>
        <w:rPr>
          <w:rFonts w:ascii="David" w:hAnsi="David" w:cs="Times New Roman"/>
          <w:sz w:val="24"/>
          <w:szCs w:val="24"/>
          <w:rtl/>
        </w:rPr>
        <w:t>.</w:t>
      </w:r>
    </w:p>
    <w:p w:rsidR="003B659A" w:rsidRDefault="003B659A" w:rsidP="003B659A">
      <w:pPr>
        <w:spacing w:line="360" w:lineRule="auto"/>
        <w:jc w:val="both"/>
        <w:rPr>
          <w:rFonts w:ascii="David" w:hAnsi="David"/>
          <w:b/>
          <w:bCs/>
          <w:u w:val="single"/>
          <w:rtl/>
        </w:rPr>
      </w:pPr>
    </w:p>
    <w:p w:rsidR="003B659A" w:rsidRDefault="003B659A" w:rsidP="003B659A">
      <w:pPr>
        <w:spacing w:line="360" w:lineRule="auto"/>
        <w:jc w:val="both"/>
        <w:rPr>
          <w:rFonts w:ascii="David" w:hAnsi="David"/>
          <w:b/>
          <w:bCs/>
          <w:u w:val="single"/>
        </w:rPr>
      </w:pPr>
    </w:p>
    <w:p w:rsidR="003B659A" w:rsidRDefault="003B659A" w:rsidP="003B659A">
      <w:pPr>
        <w:spacing w:line="360" w:lineRule="auto"/>
        <w:jc w:val="center"/>
        <w:rPr>
          <w:rFonts w:ascii="David" w:hAnsi="David"/>
          <w:b/>
          <w:bCs/>
          <w:sz w:val="28"/>
          <w:szCs w:val="28"/>
          <w:u w:val="single"/>
          <w:rtl/>
        </w:rPr>
      </w:pPr>
      <w:r>
        <w:rPr>
          <w:rFonts w:ascii="David" w:hAnsi="David"/>
          <w:b/>
          <w:bCs/>
          <w:sz w:val="28"/>
          <w:szCs w:val="28"/>
          <w:u w:val="single"/>
          <w:rtl/>
        </w:rPr>
        <w:t>פסק הדין בתביעה למתן סעד הצהרתי בתמ"ש 70455-11-20</w:t>
      </w:r>
    </w:p>
    <w:p w:rsidR="003B659A" w:rsidRDefault="003B659A" w:rsidP="003B659A">
      <w:pPr>
        <w:spacing w:line="360" w:lineRule="auto"/>
        <w:jc w:val="center"/>
        <w:rPr>
          <w:rFonts w:ascii="David" w:hAnsi="David"/>
          <w:b/>
          <w:bCs/>
          <w:sz w:val="28"/>
          <w:szCs w:val="28"/>
          <w:u w:val="single"/>
          <w:rtl/>
        </w:rPr>
      </w:pPr>
    </w:p>
    <w:p w:rsidR="003B659A" w:rsidRDefault="003B659A" w:rsidP="00FE0A12">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עניינה של התביעה לפסק דין הצהרתי היא עתירתו של האיש כי ייקבע כי הוא בעל מחצית הזכויות בדירה ברח' ב, הידועה כגוש  חלקה  תת חלקה, שנרשמה על שם הבן -בנה של התובעת, אולם היא למעשה דירתם של הצדדים (להלן: "</w:t>
      </w:r>
      <w:r>
        <w:rPr>
          <w:rFonts w:ascii="David" w:hAnsi="David" w:cs="David"/>
          <w:b/>
          <w:bCs/>
          <w:sz w:val="24"/>
          <w:szCs w:val="24"/>
          <w:rtl/>
          <w:lang w:bidi="he-IL"/>
        </w:rPr>
        <w:t>הדירה</w:t>
      </w:r>
      <w:r>
        <w:rPr>
          <w:rFonts w:ascii="David" w:hAnsi="David" w:cs="David"/>
          <w:sz w:val="24"/>
          <w:szCs w:val="24"/>
          <w:rtl/>
          <w:lang w:bidi="he-IL"/>
        </w:rPr>
        <w:t>").</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spacing w:line="360" w:lineRule="auto"/>
        <w:jc w:val="both"/>
        <w:rPr>
          <w:rFonts w:ascii="David" w:hAnsi="David"/>
          <w:b/>
          <w:bCs/>
          <w:sz w:val="26"/>
          <w:szCs w:val="26"/>
          <w:u w:val="single"/>
        </w:rPr>
      </w:pPr>
      <w:r>
        <w:rPr>
          <w:rFonts w:ascii="David" w:hAnsi="David"/>
          <w:b/>
          <w:bCs/>
          <w:sz w:val="26"/>
          <w:szCs w:val="26"/>
          <w:u w:val="single"/>
          <w:rtl/>
        </w:rPr>
        <w:t>תמצית טענות הצדדים</w:t>
      </w:r>
    </w:p>
    <w:p w:rsidR="003B659A" w:rsidRDefault="003B659A" w:rsidP="003B659A">
      <w:pPr>
        <w:spacing w:line="360" w:lineRule="auto"/>
        <w:jc w:val="both"/>
        <w:rPr>
          <w:rFonts w:ascii="David" w:hAnsi="David"/>
          <w:b/>
          <w:bCs/>
          <w:sz w:val="26"/>
          <w:szCs w:val="26"/>
          <w:u w:val="single"/>
          <w:rtl/>
        </w:rPr>
      </w:pPr>
    </w:p>
    <w:p w:rsidR="003B659A" w:rsidRDefault="003B659A" w:rsidP="003B659A">
      <w:pPr>
        <w:spacing w:line="360" w:lineRule="auto"/>
        <w:jc w:val="both"/>
        <w:rPr>
          <w:rFonts w:ascii="David" w:hAnsi="David"/>
          <w:b/>
          <w:bCs/>
          <w:u w:val="single"/>
          <w:rtl/>
        </w:rPr>
      </w:pPr>
      <w:r>
        <w:rPr>
          <w:rFonts w:ascii="David" w:hAnsi="David"/>
          <w:b/>
          <w:bCs/>
          <w:u w:val="single"/>
          <w:rtl/>
        </w:rPr>
        <w:t>טענות האיש</w:t>
      </w:r>
    </w:p>
    <w:p w:rsidR="003B659A" w:rsidRDefault="003B659A" w:rsidP="003B659A">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b/>
          <w:bCs/>
          <w:sz w:val="24"/>
          <w:szCs w:val="24"/>
          <w:rtl/>
          <w:lang w:bidi="he-IL"/>
        </w:rPr>
        <w:t xml:space="preserve">האיש </w:t>
      </w:r>
      <w:r>
        <w:rPr>
          <w:rFonts w:ascii="David" w:hAnsi="David" w:cs="David"/>
          <w:sz w:val="24"/>
          <w:szCs w:val="24"/>
          <w:rtl/>
          <w:lang w:bidi="he-IL"/>
        </w:rPr>
        <w:t xml:space="preserve">בכתב תביעתו עותר כי יש לתת פסק דין הצהרתי, לפיו הוא הבעלים של הדירה. </w:t>
      </w:r>
    </w:p>
    <w:p w:rsidR="003B659A" w:rsidRDefault="003B659A" w:rsidP="003B659A">
      <w:pPr>
        <w:pStyle w:val="af"/>
        <w:bidi/>
        <w:spacing w:after="0" w:line="360" w:lineRule="auto"/>
        <w:ind w:left="567"/>
        <w:jc w:val="both"/>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לטענת האיש</w:t>
      </w:r>
      <w:r>
        <w:rPr>
          <w:rFonts w:ascii="David" w:hAnsi="David" w:cs="David"/>
          <w:sz w:val="24"/>
          <w:szCs w:val="24"/>
          <w:rtl/>
          <w:lang w:bidi="he-IL"/>
        </w:rPr>
        <w:t>, מדובר בנכס משותף אשר בחלקו משמש לניהול מכון יופי של האישה, וחלקו השני הושכר כדירת מגורים. האיש טוען כי ברור לאישה כי הדירה שייכת גם לו, שכן על אף שהיא ניהלה את העסק שלה שם, הוא זה שבמשך כל השנים שילם את תשלומי החשבונות (ארנונה, מים וחשמל) וכל הוצאה אחרת על הנכס, על חשבונו, עד לפרוץ הסכסוך ביניהם. זאת, על אף שבמשך השנים היא קיבלה את דמי השכירות לחשבון הבנק שלה.</w:t>
      </w:r>
    </w:p>
    <w:p w:rsidR="003B659A" w:rsidRDefault="003B659A" w:rsidP="003B659A">
      <w:pPr>
        <w:pStyle w:val="af"/>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b/>
          <w:bCs/>
          <w:sz w:val="24"/>
          <w:szCs w:val="24"/>
          <w:rtl/>
          <w:lang w:bidi="he-IL"/>
        </w:rPr>
        <w:t>לטענת האיש</w:t>
      </w:r>
      <w:r>
        <w:rPr>
          <w:rFonts w:ascii="David" w:hAnsi="David" w:cs="David"/>
          <w:sz w:val="24"/>
          <w:szCs w:val="24"/>
          <w:rtl/>
          <w:lang w:bidi="he-IL"/>
        </w:rPr>
        <w:t>, מדובר בדירה אשר נרכשה על ידי הצדדים במהלך חייהם המשותפים, ואשר נרכשה על ידם במאמץ משותף. האיש טוען כי האישה היא זו שניהלה את הליך הרכישה של הדירה, ופעלה ללא ידיעתו כדי לרשום את הדירה על שם הבן, ללא ידיעתו וללא הסכמתו. לטענתו האישה אך הסתירה ממנו כי היא דאגה לרישום של הערת אזהרה לטובתה, באופן מכוון ומתוכנן.</w:t>
      </w:r>
    </w:p>
    <w:p w:rsidR="003B659A" w:rsidRDefault="003B659A" w:rsidP="003B659A">
      <w:pPr>
        <w:pStyle w:val="af"/>
        <w:bidi/>
        <w:spacing w:after="0" w:line="360" w:lineRule="auto"/>
        <w:ind w:left="567"/>
        <w:jc w:val="both"/>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lastRenderedPageBreak/>
        <w:t xml:space="preserve">לטענת האיש, </w:t>
      </w:r>
      <w:r>
        <w:rPr>
          <w:rFonts w:ascii="David" w:hAnsi="David" w:cs="David"/>
          <w:sz w:val="24"/>
          <w:szCs w:val="24"/>
          <w:rtl/>
          <w:lang w:bidi="he-IL"/>
        </w:rPr>
        <w:t>לטענת האיש, האישה אף הודתה במסגרת תביעה אחרת שהתנהלה ביניהם כי מדובר בנכס משותף של הצדדים, על אף שכעת היא מתכחשת לכך. לאור כל האמור, לטענתו, יש לקבוע כי הוא הבעלים של מחצית מהדירה.</w:t>
      </w:r>
    </w:p>
    <w:p w:rsidR="003B659A" w:rsidRDefault="003B659A" w:rsidP="003B659A">
      <w:pPr>
        <w:pStyle w:val="af"/>
        <w:rPr>
          <w:rFonts w:ascii="David" w:hAnsi="David" w:cs="David"/>
          <w:b/>
          <w:bCs/>
          <w:sz w:val="24"/>
          <w:szCs w:val="24"/>
          <w:u w:val="single"/>
          <w:lang w:bidi="he-IL"/>
        </w:rPr>
      </w:pPr>
    </w:p>
    <w:p w:rsidR="003B659A" w:rsidRDefault="003B659A" w:rsidP="003B659A">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b/>
          <w:bCs/>
          <w:sz w:val="24"/>
          <w:szCs w:val="24"/>
          <w:rtl/>
          <w:lang w:bidi="he-IL"/>
        </w:rPr>
        <w:t>בסיכומיו,</w:t>
      </w:r>
      <w:r>
        <w:rPr>
          <w:rFonts w:ascii="David" w:hAnsi="David" w:cs="David"/>
          <w:sz w:val="24"/>
          <w:szCs w:val="24"/>
          <w:rtl/>
          <w:lang w:bidi="he-IL"/>
        </w:rPr>
        <w:t xml:space="preserve"> האיש הוסיף כי האישה פעלה לאורך הדרך, תוך הצגת עובדות שאינן נכונות, והכל כדי ליצור מצג שווא לפיו הדירה אכן שייכת לבן. כך, למשל, היא לא הצליחה לנמק מדוע נרשמה הערת אזהרה לטובתה. כמו כן, לטענת האיש, עצם העובדה שהבן לא הגיע להעיד בדיוני ההוכחות בתיק, מחזקת את גרסתו ומעידה כי הדירה לא שייכת לבן.</w:t>
      </w:r>
    </w:p>
    <w:p w:rsidR="003B659A" w:rsidRDefault="003B659A" w:rsidP="003B659A">
      <w:pPr>
        <w:spacing w:line="360" w:lineRule="auto"/>
        <w:jc w:val="both"/>
        <w:rPr>
          <w:rFonts w:ascii="David" w:hAnsi="David"/>
          <w:b/>
          <w:bCs/>
          <w:u w:val="single"/>
        </w:rPr>
      </w:pPr>
    </w:p>
    <w:p w:rsidR="003B659A" w:rsidRDefault="003B659A" w:rsidP="003B659A">
      <w:pPr>
        <w:spacing w:line="360" w:lineRule="auto"/>
        <w:jc w:val="both"/>
        <w:rPr>
          <w:rFonts w:ascii="David" w:hAnsi="David"/>
          <w:b/>
          <w:bCs/>
          <w:u w:val="single"/>
          <w:rtl/>
        </w:rPr>
      </w:pPr>
      <w:r>
        <w:rPr>
          <w:rFonts w:ascii="David" w:hAnsi="David"/>
          <w:b/>
          <w:bCs/>
          <w:u w:val="single"/>
          <w:rtl/>
        </w:rPr>
        <w:t xml:space="preserve">טענות האישה והבן </w:t>
      </w:r>
    </w:p>
    <w:p w:rsidR="003B659A" w:rsidRDefault="003B659A" w:rsidP="003B659A">
      <w:pPr>
        <w:spacing w:line="360" w:lineRule="auto"/>
        <w:jc w:val="both"/>
        <w:rPr>
          <w:rFonts w:ascii="David" w:hAnsi="David"/>
          <w:b/>
          <w:bCs/>
          <w:u w:val="single"/>
          <w:rtl/>
        </w:rPr>
      </w:pPr>
    </w:p>
    <w:p w:rsidR="003B659A" w:rsidRDefault="003B659A" w:rsidP="00FE0A12">
      <w:pPr>
        <w:pStyle w:val="af"/>
        <w:numPr>
          <w:ilvl w:val="0"/>
          <w:numId w:val="1"/>
        </w:numPr>
        <w:bidi/>
        <w:spacing w:after="0" w:line="360" w:lineRule="auto"/>
        <w:jc w:val="both"/>
        <w:rPr>
          <w:rFonts w:ascii="David" w:hAnsi="David" w:cs="David"/>
          <w:sz w:val="24"/>
          <w:szCs w:val="24"/>
          <w:rtl/>
          <w:lang w:bidi="he-IL"/>
        </w:rPr>
      </w:pPr>
      <w:r>
        <w:rPr>
          <w:rFonts w:ascii="David" w:hAnsi="David" w:cs="David"/>
          <w:b/>
          <w:bCs/>
          <w:sz w:val="24"/>
          <w:szCs w:val="24"/>
          <w:rtl/>
          <w:lang w:bidi="he-IL"/>
        </w:rPr>
        <w:t>האישה והבן</w:t>
      </w:r>
      <w:r>
        <w:rPr>
          <w:rFonts w:ascii="David" w:hAnsi="David" w:cs="David"/>
          <w:sz w:val="24"/>
          <w:szCs w:val="24"/>
          <w:rtl/>
          <w:lang w:bidi="he-IL"/>
        </w:rPr>
        <w:t xml:space="preserve"> טוענים כי האיש שימש משך השנים כאב לילדיה של האישה מנישואיה הקודמים. אי לכך, האיש בחר בהחלטה משותפת עם האישה, לדאוג לעתידו של הבן ולרכוש את הדירה עבורו. האישה טוענת כי החלטה זו נבעה מתוך הרצון להשוות בין בתה, </w:t>
      </w:r>
      <w:r w:rsidR="00FE0A12">
        <w:rPr>
          <w:rFonts w:ascii="David" w:hAnsi="David" w:cs="David" w:hint="cs"/>
          <w:sz w:val="24"/>
          <w:szCs w:val="24"/>
          <w:lang w:bidi="he-IL"/>
        </w:rPr>
        <w:t>XXX</w:t>
      </w:r>
      <w:r>
        <w:rPr>
          <w:rFonts w:ascii="David" w:hAnsi="David" w:cs="David"/>
          <w:sz w:val="24"/>
          <w:szCs w:val="24"/>
          <w:rtl/>
          <w:lang w:bidi="he-IL"/>
        </w:rPr>
        <w:t>, אשר קיבלה במתנה דירה שנרשמה על שמה מידיד משפחה קרוב, לבין הבן– ולהבטיח גם את עתידו שלו.</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rtl/>
          <w:lang w:bidi="he-IL"/>
        </w:rPr>
        <w:t>לטענת האישה,</w:t>
      </w:r>
      <w:r>
        <w:rPr>
          <w:rFonts w:ascii="David" w:hAnsi="David" w:cs="David"/>
          <w:sz w:val="24"/>
          <w:szCs w:val="24"/>
          <w:rtl/>
          <w:lang w:bidi="he-IL"/>
        </w:rPr>
        <w:t xml:space="preserve"> הערת האזהרה נרשמה על שמה מתוך חשש מאביו הביולוגי של הבן, שמא ינסה להשתלט על הדירה שנרכשה עבור הבן. זאת, מתוך כוונה שהדירה אכן תהיה שייכת לבן, ולצד זאת תובטח הגנה על הבעלות בדירה. </w:t>
      </w:r>
    </w:p>
    <w:p w:rsidR="003B659A" w:rsidRDefault="003B659A" w:rsidP="003B659A">
      <w:pPr>
        <w:pStyle w:val="af"/>
        <w:bidi/>
        <w:spacing w:after="0" w:line="360" w:lineRule="auto"/>
        <w:ind w:left="567"/>
        <w:jc w:val="both"/>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rtl/>
          <w:lang w:bidi="he-IL"/>
        </w:rPr>
        <w:t>לטענת</w:t>
      </w:r>
      <w:r>
        <w:rPr>
          <w:rFonts w:ascii="David" w:hAnsi="David" w:cs="David"/>
          <w:sz w:val="24"/>
          <w:szCs w:val="24"/>
          <w:rtl/>
          <w:lang w:bidi="he-IL"/>
        </w:rPr>
        <w:t xml:space="preserve"> </w:t>
      </w:r>
      <w:r>
        <w:rPr>
          <w:rFonts w:ascii="David" w:hAnsi="David" w:cs="David"/>
          <w:b/>
          <w:bCs/>
          <w:sz w:val="24"/>
          <w:szCs w:val="24"/>
          <w:rtl/>
          <w:lang w:bidi="he-IL"/>
        </w:rPr>
        <w:t>האישה</w:t>
      </w:r>
      <w:r>
        <w:rPr>
          <w:rFonts w:ascii="David" w:hAnsi="David" w:cs="David"/>
          <w:sz w:val="24"/>
          <w:szCs w:val="24"/>
          <w:rtl/>
          <w:lang w:bidi="he-IL"/>
        </w:rPr>
        <w:t>, מאחר שלבן אין צורך כרגע בדירה, היא והאיש עשו בה שימוש לצורכיהם, וקיבלו לידם את דמי השכירות עד כה. לטענתה, בניגוד לטענות האיש, בפועל רק הבן חתום על הסכם הרכישה ולא אף אחד מהם. שכן, לטענתה, עצם העובדה שהצדדים מימנו את הרכישה לא מעידה על בעלותם בדירה.</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rtl/>
          <w:lang w:bidi="he-IL"/>
        </w:rPr>
      </w:pPr>
      <w:r>
        <w:rPr>
          <w:rFonts w:ascii="David" w:hAnsi="David" w:cs="David"/>
          <w:b/>
          <w:bCs/>
          <w:sz w:val="24"/>
          <w:szCs w:val="24"/>
          <w:rtl/>
          <w:lang w:bidi="he-IL"/>
        </w:rPr>
        <w:t>האישה</w:t>
      </w:r>
      <w:r>
        <w:rPr>
          <w:rFonts w:ascii="David" w:hAnsi="David" w:cs="David"/>
          <w:sz w:val="24"/>
          <w:szCs w:val="24"/>
          <w:rtl/>
          <w:lang w:bidi="he-IL"/>
        </w:rPr>
        <w:t xml:space="preserve"> טוענת כי אין היא לוקחת אחריות על הדברים השגויים שנכתבו בכתבי הטענות אליהם מפנה התובע, בהם היא לכאורה הודתה בכך שהדירה שייכת לצדדים.</w:t>
      </w:r>
    </w:p>
    <w:p w:rsidR="003B659A" w:rsidRDefault="003B659A" w:rsidP="003B659A">
      <w:pPr>
        <w:pStyle w:val="af"/>
        <w:rPr>
          <w:rFonts w:ascii="David" w:hAnsi="David" w:cs="David"/>
          <w:sz w:val="24"/>
          <w:szCs w:val="24"/>
          <w:lang w:bidi="he-IL"/>
        </w:rPr>
      </w:pPr>
    </w:p>
    <w:p w:rsidR="003B659A" w:rsidRDefault="003B659A" w:rsidP="003B659A">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rtl/>
          <w:lang w:bidi="he-IL"/>
        </w:rPr>
        <w:t>הבן</w:t>
      </w:r>
      <w:r>
        <w:rPr>
          <w:rFonts w:ascii="David" w:hAnsi="David" w:cs="David"/>
          <w:sz w:val="24"/>
          <w:szCs w:val="24"/>
          <w:rtl/>
          <w:lang w:bidi="he-IL"/>
        </w:rPr>
        <w:t xml:space="preserve"> לא הגיש את סיכומיו. </w:t>
      </w:r>
      <w:r>
        <w:rPr>
          <w:rFonts w:ascii="David" w:hAnsi="David" w:cs="David"/>
          <w:b/>
          <w:bCs/>
          <w:sz w:val="24"/>
          <w:szCs w:val="24"/>
          <w:rtl/>
          <w:lang w:bidi="he-IL"/>
        </w:rPr>
        <w:t>האישה</w:t>
      </w:r>
      <w:r>
        <w:rPr>
          <w:rFonts w:ascii="David" w:hAnsi="David" w:cs="David"/>
          <w:sz w:val="24"/>
          <w:szCs w:val="24"/>
          <w:rtl/>
          <w:lang w:bidi="he-IL"/>
        </w:rPr>
        <w:t>, בסיכומיה,</w:t>
      </w:r>
      <w:r>
        <w:rPr>
          <w:rFonts w:ascii="David" w:hAnsi="David" w:cs="David"/>
          <w:sz w:val="24"/>
          <w:szCs w:val="24"/>
          <w:lang w:bidi="he-IL"/>
        </w:rPr>
        <w:t xml:space="preserve"> </w:t>
      </w:r>
      <w:r>
        <w:rPr>
          <w:rFonts w:ascii="David" w:hAnsi="David" w:cs="David"/>
          <w:sz w:val="24"/>
          <w:szCs w:val="24"/>
          <w:rtl/>
          <w:lang w:bidi="he-IL"/>
        </w:rPr>
        <w:t>חוזרת וטוענת כי הצדדים מימנו לבן את רכישת הדירה ותו לאו, וכראייה לכך – ובניגוד לטענות האיש, הבן הוא זה שחתום על הסכם המכר, ושמו מופיע על חשבוניות התשלומים של הדירה, ולא הצדדים.</w:t>
      </w:r>
    </w:p>
    <w:p w:rsidR="003B659A" w:rsidRDefault="003B659A" w:rsidP="003B659A">
      <w:pPr>
        <w:pStyle w:val="af"/>
        <w:rPr>
          <w:rFonts w:ascii="David" w:hAnsi="David" w:cs="David"/>
          <w:sz w:val="24"/>
          <w:szCs w:val="24"/>
          <w:lang w:bidi="he-IL"/>
        </w:rPr>
      </w:pPr>
    </w:p>
    <w:p w:rsidR="001014B1" w:rsidRDefault="001014B1" w:rsidP="003B659A">
      <w:pPr>
        <w:spacing w:line="360" w:lineRule="auto"/>
        <w:jc w:val="both"/>
        <w:rPr>
          <w:rFonts w:ascii="David" w:hAnsi="David"/>
          <w:bCs/>
          <w:sz w:val="28"/>
          <w:szCs w:val="28"/>
          <w:u w:val="single"/>
          <w:rtl/>
        </w:rPr>
      </w:pPr>
    </w:p>
    <w:p w:rsidR="001014B1" w:rsidRDefault="001014B1" w:rsidP="003B659A">
      <w:pPr>
        <w:spacing w:line="360" w:lineRule="auto"/>
        <w:jc w:val="both"/>
        <w:rPr>
          <w:rFonts w:ascii="David" w:hAnsi="David"/>
          <w:bCs/>
          <w:sz w:val="28"/>
          <w:szCs w:val="28"/>
          <w:u w:val="single"/>
          <w:rtl/>
        </w:rPr>
      </w:pPr>
    </w:p>
    <w:p w:rsidR="001014B1" w:rsidRDefault="001014B1" w:rsidP="003B659A">
      <w:pPr>
        <w:spacing w:line="360" w:lineRule="auto"/>
        <w:jc w:val="both"/>
        <w:rPr>
          <w:rFonts w:ascii="David" w:hAnsi="David"/>
          <w:bCs/>
          <w:sz w:val="28"/>
          <w:szCs w:val="28"/>
          <w:u w:val="single"/>
          <w:rtl/>
        </w:rPr>
      </w:pPr>
    </w:p>
    <w:p w:rsidR="003B659A" w:rsidRDefault="003B659A" w:rsidP="003B659A">
      <w:pPr>
        <w:spacing w:line="360" w:lineRule="auto"/>
        <w:jc w:val="both"/>
        <w:rPr>
          <w:rFonts w:ascii="David" w:hAnsi="David"/>
          <w:bCs/>
          <w:sz w:val="28"/>
          <w:szCs w:val="28"/>
          <w:u w:val="single"/>
          <w:rtl/>
        </w:rPr>
      </w:pPr>
      <w:r>
        <w:rPr>
          <w:rFonts w:ascii="David" w:hAnsi="David"/>
          <w:bCs/>
          <w:sz w:val="28"/>
          <w:szCs w:val="28"/>
          <w:u w:val="single"/>
          <w:rtl/>
        </w:rPr>
        <w:lastRenderedPageBreak/>
        <w:t>דיון והכרעה</w:t>
      </w:r>
    </w:p>
    <w:p w:rsidR="001014B1" w:rsidRDefault="001014B1" w:rsidP="003B659A">
      <w:pPr>
        <w:spacing w:line="360" w:lineRule="auto"/>
        <w:jc w:val="both"/>
        <w:rPr>
          <w:rFonts w:ascii="David" w:hAnsi="David"/>
          <w:bCs/>
          <w:sz w:val="28"/>
          <w:szCs w:val="28"/>
          <w:u w:val="single"/>
          <w:rtl/>
        </w:rPr>
      </w:pPr>
    </w:p>
    <w:p w:rsidR="003B659A" w:rsidRDefault="003B659A" w:rsidP="003B659A">
      <w:pPr>
        <w:pStyle w:val="af"/>
        <w:numPr>
          <w:ilvl w:val="0"/>
          <w:numId w:val="1"/>
        </w:numPr>
        <w:bidi/>
        <w:spacing w:after="0" w:line="360" w:lineRule="auto"/>
        <w:jc w:val="both"/>
        <w:rPr>
          <w:rFonts w:ascii="David" w:hAnsi="David" w:cs="David"/>
          <w:bCs/>
          <w:sz w:val="24"/>
          <w:szCs w:val="24"/>
          <w:u w:val="single"/>
          <w:rtl/>
          <w:lang w:bidi="he-IL"/>
        </w:rPr>
      </w:pPr>
      <w:r>
        <w:rPr>
          <w:rFonts w:ascii="David" w:hAnsi="David" w:cs="David"/>
          <w:bCs/>
          <w:sz w:val="24"/>
          <w:szCs w:val="24"/>
          <w:rtl/>
          <w:lang w:bidi="he-IL"/>
        </w:rPr>
        <w:t>לאחר שמיעת טענות הצדדים וחקירותיהם, ועיון בראיות שהוצגו בפניי – אני מקבלת את התביעה ונעתרת לבקשת האיש להכיר בו כבעלים של מחצית הדירה, כפי שיפורט להלן.</w:t>
      </w:r>
    </w:p>
    <w:p w:rsidR="003B659A" w:rsidRDefault="003B659A" w:rsidP="003B659A">
      <w:pPr>
        <w:pStyle w:val="af"/>
        <w:bidi/>
        <w:spacing w:after="0" w:line="360" w:lineRule="auto"/>
        <w:jc w:val="both"/>
        <w:rPr>
          <w:rFonts w:ascii="David" w:hAnsi="David" w:cs="David"/>
          <w:b/>
          <w:bCs/>
          <w:noProof/>
          <w:sz w:val="24"/>
          <w:szCs w:val="24"/>
        </w:rPr>
      </w:pPr>
    </w:p>
    <w:p w:rsidR="003B659A" w:rsidRDefault="003B659A" w:rsidP="00FE0A12">
      <w:pPr>
        <w:pStyle w:val="af"/>
        <w:numPr>
          <w:ilvl w:val="0"/>
          <w:numId w:val="1"/>
        </w:numPr>
        <w:bidi/>
        <w:spacing w:after="0" w:line="360" w:lineRule="auto"/>
        <w:jc w:val="both"/>
        <w:rPr>
          <w:rFonts w:ascii="David" w:hAnsi="David" w:cs="David"/>
          <w:noProof/>
          <w:sz w:val="24"/>
          <w:szCs w:val="24"/>
        </w:rPr>
      </w:pPr>
      <w:r>
        <w:rPr>
          <w:rFonts w:ascii="David" w:hAnsi="David" w:cs="David"/>
          <w:noProof/>
          <w:sz w:val="24"/>
          <w:szCs w:val="24"/>
          <w:rtl/>
          <w:lang w:bidi="he-IL"/>
        </w:rPr>
        <w:t xml:space="preserve">מדובר בדירה אשר נרכשה ביום.2016 בסך של 1,260,000 ₪. אין מחלוקת כי הכספים ששולמו לצורך רכישת הדירה, הגיעו מהצדדים, וכי האיש נתן שיק על סך כמעט מחצית משווי הדירה, בסך של 600,000 ₪ לטובת המוכרים במועד הרכישה. </w:t>
      </w:r>
    </w:p>
    <w:p w:rsidR="003B659A" w:rsidRDefault="003B659A" w:rsidP="003B659A">
      <w:pPr>
        <w:pStyle w:val="af"/>
        <w:rPr>
          <w:rFonts w:ascii="David" w:hAnsi="David" w:cs="David"/>
          <w:noProof/>
          <w:sz w:val="24"/>
          <w:szCs w:val="24"/>
          <w:lang w:bidi="he-IL"/>
        </w:rPr>
      </w:pPr>
    </w:p>
    <w:p w:rsidR="003B659A" w:rsidRDefault="003B659A" w:rsidP="003B659A">
      <w:pPr>
        <w:pStyle w:val="af"/>
        <w:numPr>
          <w:ilvl w:val="0"/>
          <w:numId w:val="1"/>
        </w:numPr>
        <w:bidi/>
        <w:spacing w:after="0" w:line="360" w:lineRule="auto"/>
        <w:jc w:val="both"/>
        <w:rPr>
          <w:rFonts w:ascii="David" w:hAnsi="David" w:cs="David"/>
          <w:noProof/>
          <w:sz w:val="24"/>
          <w:szCs w:val="24"/>
          <w:rtl/>
        </w:rPr>
      </w:pPr>
      <w:r>
        <w:rPr>
          <w:rFonts w:ascii="David" w:hAnsi="David" w:cs="David"/>
          <w:noProof/>
          <w:sz w:val="24"/>
          <w:szCs w:val="24"/>
          <w:rtl/>
          <w:lang w:bidi="he-IL"/>
        </w:rPr>
        <w:t xml:space="preserve">כמו כן, אין מחלוקת כי דמי השכירות מהדירה </w:t>
      </w:r>
      <w:r>
        <w:rPr>
          <w:rFonts w:ascii="David" w:hAnsi="David" w:cs="David"/>
          <w:noProof/>
          <w:sz w:val="24"/>
          <w:szCs w:val="24"/>
          <w:u w:val="single"/>
          <w:rtl/>
          <w:lang w:bidi="he-IL"/>
        </w:rPr>
        <w:t>לא הגיעו לבן</w:t>
      </w:r>
      <w:r>
        <w:rPr>
          <w:rFonts w:ascii="David" w:hAnsi="David" w:cs="David"/>
          <w:noProof/>
          <w:sz w:val="24"/>
          <w:szCs w:val="24"/>
          <w:rtl/>
          <w:lang w:bidi="he-IL"/>
        </w:rPr>
        <w:t xml:space="preserve">, על שמו רשומה הדירה, אלא לאישה, מאז ועד היום. </w:t>
      </w:r>
    </w:p>
    <w:p w:rsidR="003B659A" w:rsidRDefault="003B659A" w:rsidP="003B659A">
      <w:pPr>
        <w:pStyle w:val="af"/>
        <w:rPr>
          <w:rFonts w:ascii="David" w:hAnsi="David" w:cs="David"/>
          <w:noProof/>
          <w:sz w:val="24"/>
          <w:szCs w:val="24"/>
          <w:lang w:bidi="he-IL"/>
        </w:rPr>
      </w:pPr>
    </w:p>
    <w:p w:rsidR="003B659A" w:rsidRDefault="003B659A" w:rsidP="003B659A">
      <w:pPr>
        <w:pStyle w:val="af"/>
        <w:numPr>
          <w:ilvl w:val="0"/>
          <w:numId w:val="1"/>
        </w:numPr>
        <w:bidi/>
        <w:spacing w:after="0" w:line="360" w:lineRule="auto"/>
        <w:jc w:val="both"/>
        <w:rPr>
          <w:rFonts w:ascii="David" w:hAnsi="David" w:cs="David"/>
          <w:noProof/>
          <w:sz w:val="24"/>
          <w:szCs w:val="24"/>
          <w:rtl/>
        </w:rPr>
      </w:pPr>
      <w:r>
        <w:rPr>
          <w:rFonts w:ascii="David" w:hAnsi="David" w:cs="David"/>
          <w:noProof/>
          <w:sz w:val="24"/>
          <w:szCs w:val="24"/>
          <w:rtl/>
          <w:lang w:bidi="he-IL"/>
        </w:rPr>
        <w:t>יתרה מכך, אין מחלוקת כי האישה ניהלה בדירה את העסק שלה, וכן כי הצדדים הם ששילמו את ההוצאות השוטפות על הדירה.</w:t>
      </w:r>
    </w:p>
    <w:p w:rsidR="003B659A" w:rsidRDefault="003B659A" w:rsidP="003B659A">
      <w:pPr>
        <w:pStyle w:val="af"/>
        <w:spacing w:after="0" w:line="360" w:lineRule="auto"/>
        <w:rPr>
          <w:rFonts w:ascii="David" w:hAnsi="David" w:cs="David"/>
          <w:noProof/>
          <w:sz w:val="24"/>
          <w:szCs w:val="24"/>
        </w:rPr>
      </w:pPr>
    </w:p>
    <w:p w:rsidR="003B659A" w:rsidRDefault="003B659A" w:rsidP="003B659A">
      <w:pPr>
        <w:pStyle w:val="af"/>
        <w:numPr>
          <w:ilvl w:val="0"/>
          <w:numId w:val="1"/>
        </w:numPr>
        <w:bidi/>
        <w:spacing w:after="0" w:line="360" w:lineRule="auto"/>
        <w:jc w:val="both"/>
        <w:rPr>
          <w:rFonts w:ascii="David" w:hAnsi="David" w:cs="David"/>
          <w:noProof/>
          <w:sz w:val="24"/>
          <w:szCs w:val="24"/>
          <w:rtl/>
        </w:rPr>
      </w:pPr>
      <w:r>
        <w:rPr>
          <w:rFonts w:ascii="David" w:hAnsi="David" w:cs="David"/>
          <w:noProof/>
          <w:sz w:val="24"/>
          <w:szCs w:val="24"/>
          <w:rtl/>
          <w:lang w:bidi="he-IL"/>
        </w:rPr>
        <w:t xml:space="preserve">בהקשר זה, </w:t>
      </w:r>
      <w:r>
        <w:rPr>
          <w:rFonts w:ascii="David" w:hAnsi="David" w:cs="David"/>
          <w:b/>
          <w:bCs/>
          <w:noProof/>
          <w:sz w:val="24"/>
          <w:szCs w:val="24"/>
          <w:rtl/>
          <w:lang w:bidi="he-IL"/>
        </w:rPr>
        <w:t>האיש</w:t>
      </w:r>
      <w:r>
        <w:rPr>
          <w:rFonts w:ascii="David" w:hAnsi="David" w:cs="David"/>
          <w:noProof/>
          <w:sz w:val="24"/>
          <w:szCs w:val="24"/>
          <w:rtl/>
          <w:lang w:bidi="he-IL"/>
        </w:rPr>
        <w:t>, אשר נשאל בחקירתו על אודות רכישת הדירה עבור הבן, ענה בצורה מהימנה וחד משמעית כי האישה היא זו שניהלה את הדירה וכי לא היה לו אינטרס לקנות אותה עבור הבן:</w:t>
      </w:r>
    </w:p>
    <w:p w:rsidR="003B659A" w:rsidRDefault="003B659A" w:rsidP="003B659A">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"ת: מרשתך ניהלה את כל הקנייה של</w:t>
      </w:r>
      <w:bookmarkStart w:id="35" w:name="_ETM_Q_371156"/>
      <w:bookmarkEnd w:id="35"/>
      <w:r>
        <w:rPr>
          <w:rFonts w:ascii="Arial" w:hAnsi="Arial" w:cs="David"/>
          <w:sz w:val="24"/>
          <w:szCs w:val="24"/>
          <w:u w:val="none"/>
          <w:rtl/>
        </w:rPr>
        <w:t xml:space="preserve"> הבית הזה, אני, בטיפשותי, אפשר להגיד, האמנתי לה,</w:t>
      </w:r>
      <w:bookmarkStart w:id="36" w:name="_ETM_Q_377424"/>
      <w:bookmarkEnd w:id="36"/>
      <w:r>
        <w:rPr>
          <w:rFonts w:ascii="Arial" w:hAnsi="Arial" w:cs="David"/>
          <w:sz w:val="24"/>
          <w:szCs w:val="24"/>
          <w:u w:val="none"/>
          <w:rtl/>
        </w:rPr>
        <w:t xml:space="preserve"> נתתי לה יד חופשית, להוכחה, יש פה, </w:t>
      </w:r>
      <w:r>
        <w:rPr>
          <w:rFonts w:ascii="Arial" w:hAnsi="Arial" w:cs="David"/>
          <w:sz w:val="24"/>
          <w:szCs w:val="24"/>
          <w:rtl/>
        </w:rPr>
        <w:t>שחצי</w:t>
      </w:r>
      <w:bookmarkStart w:id="37" w:name="_ETM_Q_380456"/>
      <w:bookmarkEnd w:id="37"/>
      <w:r>
        <w:rPr>
          <w:rFonts w:ascii="Arial" w:hAnsi="Arial" w:cs="David"/>
          <w:sz w:val="24"/>
          <w:szCs w:val="24"/>
          <w:rtl/>
        </w:rPr>
        <w:t xml:space="preserve"> מהדירה עבר מהחשבון הפרטי שלי</w:t>
      </w:r>
      <w:r>
        <w:rPr>
          <w:rFonts w:ascii="Arial" w:hAnsi="Arial" w:cs="David"/>
          <w:sz w:val="24"/>
          <w:szCs w:val="24"/>
          <w:u w:val="none"/>
          <w:rtl/>
        </w:rPr>
        <w:t>. והיא עשתה מה שהיא עשתה</w:t>
      </w:r>
      <w:bookmarkStart w:id="38" w:name="_ETM_Q_386203"/>
      <w:bookmarkEnd w:id="38"/>
      <w:r>
        <w:rPr>
          <w:rFonts w:ascii="Arial" w:hAnsi="Arial" w:cs="David"/>
          <w:sz w:val="24"/>
          <w:szCs w:val="24"/>
          <w:u w:val="none"/>
          <w:rtl/>
        </w:rPr>
        <w:t xml:space="preserve"> בלי ידיעתי. בלי לעדכן אותי.</w:t>
      </w:r>
      <w:bookmarkStart w:id="39" w:name="_ETM_Q_389860"/>
      <w:bookmarkEnd w:id="39"/>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שוב, ברגע שהתביעה היא, סליחה, הנכס</w:t>
      </w:r>
      <w:bookmarkStart w:id="40" w:name="_ETM_Q_394044"/>
      <w:bookmarkEnd w:id="40"/>
      <w:r>
        <w:rPr>
          <w:rFonts w:ascii="Arial" w:hAnsi="Arial" w:cs="David"/>
          <w:sz w:val="24"/>
          <w:szCs w:val="24"/>
          <w:u w:val="none"/>
          <w:rtl/>
        </w:rPr>
        <w:t xml:space="preserve"> רשום על שם,</w:t>
      </w:r>
      <w:bookmarkStart w:id="41" w:name="_ETM_Q_395609"/>
      <w:bookmarkEnd w:id="41"/>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והיא גם הצהירה</w:t>
      </w:r>
      <w:r>
        <w:rPr>
          <w:rFonts w:ascii="Arial" w:hAnsi="Arial" w:cs="David"/>
          <w:sz w:val="24"/>
          <w:szCs w:val="24"/>
          <w:u w:val="none"/>
          <w:rtl/>
        </w:rPr>
        <w:t>, בפעם הראשונה שהיא מילאה את</w:t>
      </w:r>
      <w:bookmarkStart w:id="42" w:name="_ETM_Q_400050"/>
      <w:bookmarkEnd w:id="42"/>
      <w:r>
        <w:rPr>
          <w:rFonts w:ascii="Arial" w:hAnsi="Arial" w:cs="David"/>
          <w:sz w:val="24"/>
          <w:szCs w:val="24"/>
          <w:u w:val="none"/>
          <w:rtl/>
        </w:rPr>
        <w:t xml:space="preserve"> אני לא יודע איך זה נקרא בדיוק, מה שהיא הגישה</w:t>
      </w:r>
      <w:bookmarkStart w:id="43" w:name="_ETM_Q_404488"/>
      <w:bookmarkEnd w:id="43"/>
      <w:r>
        <w:rPr>
          <w:rFonts w:ascii="Arial" w:hAnsi="Arial" w:cs="David"/>
          <w:sz w:val="24"/>
          <w:szCs w:val="24"/>
          <w:u w:val="none"/>
          <w:rtl/>
        </w:rPr>
        <w:t xml:space="preserve"> לבית משפט, </w:t>
      </w:r>
      <w:r>
        <w:rPr>
          <w:rFonts w:ascii="Arial" w:hAnsi="Arial" w:cs="David"/>
          <w:sz w:val="24"/>
          <w:szCs w:val="24"/>
          <w:rtl/>
        </w:rPr>
        <w:t>שאני והיא רכשנו את הדירה הזאת ביחד.</w:t>
      </w:r>
      <w:bookmarkStart w:id="44" w:name="_ETM_Q_405714"/>
      <w:bookmarkEnd w:id="44"/>
      <w:r>
        <w:rPr>
          <w:rFonts w:ascii="Arial" w:hAnsi="Arial" w:cs="David"/>
          <w:sz w:val="24"/>
          <w:szCs w:val="24"/>
          <w:rtl/>
        </w:rPr>
        <w:t xml:space="preserve"> ויש לנו ש</w:t>
      </w:r>
      <w:bookmarkStart w:id="45" w:name="_ETM_Q_407025"/>
      <w:bookmarkEnd w:id="45"/>
      <w:r>
        <w:rPr>
          <w:rFonts w:ascii="Arial" w:hAnsi="Arial" w:cs="David"/>
          <w:sz w:val="24"/>
          <w:szCs w:val="24"/>
          <w:rtl/>
        </w:rPr>
        <w:t>תי דירות על שמנו</w:t>
      </w:r>
      <w:r>
        <w:rPr>
          <w:rFonts w:ascii="Arial" w:hAnsi="Arial" w:cs="David"/>
          <w:sz w:val="24"/>
          <w:szCs w:val="24"/>
          <w:u w:val="none"/>
          <w:rtl/>
        </w:rPr>
        <w:t>,</w:t>
      </w:r>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bookmarkStart w:id="46" w:name="_ETM_Q_406810"/>
      <w:bookmarkEnd w:id="46"/>
      <w:r>
        <w:rPr>
          <w:rFonts w:ascii="Arial" w:hAnsi="Arial" w:cs="David"/>
          <w:sz w:val="24"/>
          <w:szCs w:val="24"/>
          <w:u w:val="none"/>
          <w:rtl/>
        </w:rPr>
        <w:t>ש: כן</w:t>
      </w:r>
      <w:bookmarkStart w:id="47" w:name="_ETM_Q_407853"/>
      <w:bookmarkEnd w:id="47"/>
      <w:r>
        <w:rPr>
          <w:rFonts w:ascii="Arial" w:hAnsi="Arial" w:cs="David"/>
          <w:sz w:val="24"/>
          <w:szCs w:val="24"/>
          <w:u w:val="none"/>
          <w:rtl/>
        </w:rPr>
        <w:t xml:space="preserve"> אבל רכשתם, אבל רכשתם אותה למישהו.</w:t>
      </w:r>
    </w:p>
    <w:p w:rsidR="003B659A" w:rsidRDefault="003B659A" w:rsidP="00FE0A12">
      <w:pPr>
        <w:pStyle w:val="ad"/>
        <w:shd w:val="clear" w:color="auto" w:fill="auto"/>
        <w:spacing w:line="360" w:lineRule="auto"/>
        <w:ind w:left="567" w:firstLine="0"/>
        <w:jc w:val="both"/>
        <w:rPr>
          <w:rFonts w:ascii="Arial" w:hAnsi="Arial" w:cs="David"/>
          <w:sz w:val="24"/>
          <w:szCs w:val="24"/>
          <w:rtl/>
        </w:rPr>
      </w:pPr>
      <w:bookmarkStart w:id="48" w:name="_ETM_Q_407748"/>
      <w:bookmarkEnd w:id="48"/>
      <w:r>
        <w:rPr>
          <w:rFonts w:ascii="Arial" w:hAnsi="Arial" w:cs="David"/>
          <w:sz w:val="24"/>
          <w:szCs w:val="24"/>
          <w:rtl/>
        </w:rPr>
        <w:t>ת: נכון. ושתיהן של שנינו. זה</w:t>
      </w:r>
      <w:bookmarkStart w:id="49" w:name="_ETM_Q_412185"/>
      <w:bookmarkEnd w:id="49"/>
      <w:r>
        <w:rPr>
          <w:rFonts w:ascii="Arial" w:hAnsi="Arial" w:cs="David"/>
          <w:sz w:val="24"/>
          <w:szCs w:val="24"/>
          <w:rtl/>
        </w:rPr>
        <w:t xml:space="preserve"> בתצהיר שלה. לא שלי. היא הצהירה את זה. שהדירות האלה </w:t>
      </w:r>
      <w:bookmarkStart w:id="50" w:name="_ETM_Q_417150"/>
      <w:bookmarkEnd w:id="50"/>
      <w:r>
        <w:rPr>
          <w:rFonts w:ascii="Arial" w:hAnsi="Arial" w:cs="David"/>
          <w:sz w:val="24"/>
          <w:szCs w:val="24"/>
          <w:rtl/>
        </w:rPr>
        <w:t>של שנינו. יש לנו דירה ב</w:t>
      </w:r>
      <w:r w:rsidR="00852F6E">
        <w:rPr>
          <w:rFonts w:ascii="Arial" w:hAnsi="Arial" w:cs="David" w:hint="cs"/>
          <w:sz w:val="24"/>
          <w:szCs w:val="24"/>
          <w:rtl/>
        </w:rPr>
        <w:t>***</w:t>
      </w:r>
      <w:r>
        <w:rPr>
          <w:rFonts w:ascii="Arial" w:hAnsi="Arial" w:cs="David"/>
          <w:sz w:val="24"/>
          <w:szCs w:val="24"/>
          <w:rtl/>
        </w:rPr>
        <w:t xml:space="preserve"> ודירה ב</w:t>
      </w:r>
      <w:r w:rsidR="00852F6E">
        <w:rPr>
          <w:rFonts w:ascii="Arial" w:hAnsi="Arial" w:cs="David" w:hint="cs"/>
          <w:sz w:val="24"/>
          <w:szCs w:val="24"/>
          <w:rtl/>
        </w:rPr>
        <w:t>***</w:t>
      </w:r>
      <w:r>
        <w:rPr>
          <w:rFonts w:ascii="Arial" w:hAnsi="Arial" w:cs="David"/>
          <w:sz w:val="24"/>
          <w:szCs w:val="24"/>
          <w:rtl/>
        </w:rPr>
        <w:t>. נשמע לך הגיוני שאני ארשום דירה על ילד שהוא</w:t>
      </w:r>
      <w:bookmarkStart w:id="51" w:name="_ETM_Q_424624"/>
      <w:bookmarkEnd w:id="51"/>
      <w:r>
        <w:rPr>
          <w:rFonts w:ascii="Arial" w:hAnsi="Arial" w:cs="David"/>
          <w:sz w:val="24"/>
          <w:szCs w:val="24"/>
          <w:rtl/>
        </w:rPr>
        <w:t xml:space="preserve"> לא שלי ולא ארשום אותו על ילד שהוא שלי? עוד</w:t>
      </w:r>
      <w:bookmarkStart w:id="52" w:name="_ETM_Q_428805"/>
      <w:bookmarkEnd w:id="52"/>
      <w:r>
        <w:rPr>
          <w:rFonts w:ascii="Arial" w:hAnsi="Arial" w:cs="David"/>
          <w:sz w:val="24"/>
          <w:szCs w:val="24"/>
          <w:rtl/>
        </w:rPr>
        <w:t xml:space="preserve"> אין לי כל כך הרבה כסף בשביל לפזר דירות</w:t>
      </w:r>
      <w:r>
        <w:rPr>
          <w:rFonts w:ascii="Arial" w:hAnsi="Arial" w:cs="David"/>
          <w:b w:val="0"/>
          <w:bCs w:val="0"/>
          <w:sz w:val="24"/>
          <w:szCs w:val="24"/>
          <w:u w:val="none"/>
          <w:rtl/>
        </w:rPr>
        <w:t>.</w:t>
      </w:r>
      <w:bookmarkStart w:id="53" w:name="_ETM_Q_427913"/>
      <w:bookmarkEnd w:id="53"/>
      <w:r>
        <w:rPr>
          <w:rFonts w:ascii="Arial" w:hAnsi="Arial" w:cs="David"/>
          <w:b w:val="0"/>
          <w:bCs w:val="0"/>
          <w:sz w:val="24"/>
          <w:szCs w:val="24"/>
          <w:u w:val="none"/>
          <w:rtl/>
        </w:rPr>
        <w:t>"</w:t>
      </w:r>
    </w:p>
    <w:p w:rsidR="003B659A" w:rsidRDefault="003B659A" w:rsidP="003B659A">
      <w:pPr>
        <w:spacing w:line="360" w:lineRule="auto"/>
        <w:ind w:firstLine="567"/>
        <w:jc w:val="both"/>
        <w:rPr>
          <w:rFonts w:ascii="David" w:hAnsi="David"/>
          <w:rtl/>
        </w:rPr>
      </w:pPr>
      <w:r>
        <w:rPr>
          <w:rFonts w:ascii="David" w:hAnsi="David"/>
          <w:rtl/>
        </w:rPr>
        <w:t>ראו: פרוט' מיום 13.4.2022, עמ' 41, שורות 20-8 (ההדגשות בקו – הוספו).</w:t>
      </w:r>
    </w:p>
    <w:p w:rsidR="003B659A" w:rsidRDefault="003B659A" w:rsidP="003B659A">
      <w:pPr>
        <w:pStyle w:val="af"/>
        <w:bidi/>
        <w:spacing w:after="0" w:line="360" w:lineRule="auto"/>
        <w:jc w:val="both"/>
        <w:rPr>
          <w:rFonts w:ascii="David" w:hAnsi="David" w:cs="David"/>
          <w:noProof/>
          <w:sz w:val="24"/>
          <w:szCs w:val="24"/>
          <w:rtl/>
          <w:lang w:bidi="he-IL"/>
        </w:rPr>
      </w:pPr>
    </w:p>
    <w:p w:rsidR="003B659A" w:rsidRDefault="003B659A" w:rsidP="003B659A">
      <w:pPr>
        <w:pStyle w:val="af"/>
        <w:numPr>
          <w:ilvl w:val="0"/>
          <w:numId w:val="1"/>
        </w:numPr>
        <w:bidi/>
        <w:spacing w:after="0" w:line="360" w:lineRule="auto"/>
        <w:jc w:val="both"/>
        <w:rPr>
          <w:rFonts w:ascii="David" w:hAnsi="David" w:cs="David"/>
          <w:noProof/>
          <w:sz w:val="24"/>
          <w:szCs w:val="24"/>
          <w:rtl/>
          <w:lang w:bidi="he-IL"/>
        </w:rPr>
      </w:pPr>
      <w:r>
        <w:rPr>
          <w:rFonts w:ascii="David" w:hAnsi="David" w:cs="David"/>
          <w:noProof/>
          <w:sz w:val="24"/>
          <w:szCs w:val="24"/>
          <w:rtl/>
          <w:lang w:bidi="he-IL"/>
        </w:rPr>
        <w:t xml:space="preserve">כמו כן, </w:t>
      </w:r>
      <w:r>
        <w:rPr>
          <w:rFonts w:ascii="David" w:hAnsi="David" w:cs="David"/>
          <w:b/>
          <w:bCs/>
          <w:noProof/>
          <w:sz w:val="24"/>
          <w:szCs w:val="24"/>
          <w:rtl/>
          <w:lang w:bidi="he-IL"/>
        </w:rPr>
        <w:t>האיש</w:t>
      </w:r>
      <w:r>
        <w:rPr>
          <w:rFonts w:ascii="David" w:hAnsi="David" w:cs="David"/>
          <w:noProof/>
          <w:sz w:val="24"/>
          <w:szCs w:val="24"/>
          <w:rtl/>
          <w:lang w:bidi="he-IL"/>
        </w:rPr>
        <w:t xml:space="preserve"> ציין כי מטרת רכישת הדירה הייתה עבור פיתוח העסק של האישה, וכי גם הוא וגם האישה חתמו יחד עם שוכרים על הסכם שכירות, וקיבלו לידם משך השנים את דמי השכירות:</w:t>
      </w:r>
    </w:p>
    <w:p w:rsidR="003B659A" w:rsidRDefault="003B659A" w:rsidP="00FE0A12">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lastRenderedPageBreak/>
        <w:t>"ת: הדירה הזאת נרכשה במטרה שהיא תתפתח, ויהיה</w:t>
      </w:r>
      <w:bookmarkStart w:id="54" w:name="_ETM_Q_467541"/>
      <w:bookmarkEnd w:id="54"/>
      <w:r>
        <w:rPr>
          <w:rFonts w:ascii="Arial" w:hAnsi="Arial" w:cs="David"/>
          <w:sz w:val="24"/>
          <w:szCs w:val="24"/>
          <w:u w:val="none"/>
          <w:rtl/>
        </w:rPr>
        <w:t xml:space="preserve"> לה מכון ב</w:t>
      </w:r>
      <w:r w:rsidR="00852F6E">
        <w:rPr>
          <w:rFonts w:ascii="Arial" w:hAnsi="Arial" w:cs="David" w:hint="cs"/>
          <w:sz w:val="24"/>
          <w:szCs w:val="24"/>
          <w:u w:val="none"/>
          <w:rtl/>
        </w:rPr>
        <w:t>***</w:t>
      </w:r>
      <w:r>
        <w:rPr>
          <w:rFonts w:ascii="Arial" w:hAnsi="Arial" w:cs="David"/>
          <w:sz w:val="24"/>
          <w:szCs w:val="24"/>
          <w:u w:val="none"/>
          <w:rtl/>
        </w:rPr>
        <w:t>, והיא תוכל לעבוד ולהתקדם.</w:t>
      </w:r>
      <w:bookmarkStart w:id="55" w:name="_ETM_Q_472504"/>
      <w:bookmarkEnd w:id="55"/>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מי קיבל את </w:t>
      </w:r>
      <w:bookmarkStart w:id="56" w:name="_ETM_Q_473546"/>
      <w:bookmarkEnd w:id="56"/>
      <w:r>
        <w:rPr>
          <w:rFonts w:ascii="Arial" w:hAnsi="Arial" w:cs="David"/>
          <w:sz w:val="24"/>
          <w:szCs w:val="24"/>
          <w:u w:val="none"/>
          <w:rtl/>
        </w:rPr>
        <w:t>השכירות?</w:t>
      </w:r>
      <w:bookmarkStart w:id="57" w:name="_ETM_Q_474590"/>
      <w:bookmarkEnd w:id="57"/>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של החצי דירה?</w:t>
      </w:r>
      <w:bookmarkStart w:id="58" w:name="_ETM_Q_476423"/>
      <w:bookmarkEnd w:id="58"/>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כן.</w:t>
      </w:r>
      <w:bookmarkStart w:id="59" w:name="_ETM_Q_476942"/>
      <w:bookmarkEnd w:id="59"/>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בהתחלה אני הייתי מקבל אותו.</w:t>
      </w:r>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אוקיי.</w:t>
      </w:r>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bookmarkStart w:id="60" w:name="_ETM_Q_476556"/>
      <w:bookmarkEnd w:id="60"/>
      <w:r>
        <w:rPr>
          <w:rFonts w:ascii="Arial" w:hAnsi="Arial" w:cs="David"/>
          <w:sz w:val="24"/>
          <w:szCs w:val="24"/>
          <w:u w:val="none"/>
          <w:rtl/>
        </w:rPr>
        <w:t>ת: ואחר כך היא קיבלה.</w:t>
      </w:r>
      <w:bookmarkStart w:id="61" w:name="_ETM_Q_478664"/>
      <w:bookmarkEnd w:id="61"/>
      <w:r>
        <w:rPr>
          <w:rFonts w:ascii="Arial" w:hAnsi="Arial" w:cs="David"/>
          <w:sz w:val="24"/>
          <w:szCs w:val="24"/>
          <w:u w:val="none"/>
          <w:rtl/>
        </w:rPr>
        <w:t xml:space="preserve"> היא לקחה את זה. </w:t>
      </w:r>
      <w:bookmarkStart w:id="62" w:name="_ETM_Q_480494"/>
      <w:bookmarkEnd w:id="62"/>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זאת אומרת שאתה, אף אחד</w:t>
      </w:r>
      <w:bookmarkStart w:id="63" w:name="_ETM_Q_484151"/>
      <w:bookmarkEnd w:id="63"/>
      <w:r>
        <w:rPr>
          <w:rFonts w:ascii="Arial" w:hAnsi="Arial" w:cs="David"/>
          <w:sz w:val="24"/>
          <w:szCs w:val="24"/>
          <w:u w:val="none"/>
          <w:rtl/>
        </w:rPr>
        <w:t xml:space="preserve"> לא הכחיש שום דבר לגבי הדירה הזאת?</w:t>
      </w:r>
      <w:bookmarkStart w:id="64" w:name="_ETM_Q_483527"/>
      <w:bookmarkEnd w:id="64"/>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מה זה הכחיש? אני</w:t>
      </w:r>
      <w:bookmarkStart w:id="65" w:name="_ETM_Q_485616"/>
      <w:bookmarkEnd w:id="65"/>
      <w:r>
        <w:rPr>
          <w:rFonts w:ascii="Arial" w:hAnsi="Arial" w:cs="David"/>
          <w:sz w:val="24"/>
          <w:szCs w:val="24"/>
          <w:u w:val="none"/>
          <w:rtl/>
        </w:rPr>
        <w:t xml:space="preserve"> לא הייתי בחוזה עצמו.</w:t>
      </w:r>
      <w:bookmarkStart w:id="66" w:name="_ETM_Q_485771"/>
      <w:bookmarkEnd w:id="66"/>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אתה לקחת שכירות. </w:t>
      </w:r>
      <w:bookmarkStart w:id="67" w:name="_ETM_Q_487597"/>
      <w:bookmarkEnd w:id="67"/>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כשהבאנו בן אדם,</w:t>
      </w:r>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bookmarkStart w:id="68" w:name="_ETM_Q_489949"/>
      <w:bookmarkEnd w:id="68"/>
      <w:r>
        <w:rPr>
          <w:rFonts w:ascii="Arial" w:hAnsi="Arial" w:cs="David"/>
          <w:sz w:val="24"/>
          <w:szCs w:val="24"/>
          <w:u w:val="none"/>
          <w:rtl/>
        </w:rPr>
        <w:t>ש: מי</w:t>
      </w:r>
      <w:bookmarkStart w:id="69" w:name="_ETM_Q_489059"/>
      <w:bookmarkEnd w:id="69"/>
      <w:r>
        <w:rPr>
          <w:rFonts w:ascii="Arial" w:hAnsi="Arial" w:cs="David"/>
          <w:sz w:val="24"/>
          <w:szCs w:val="24"/>
          <w:u w:val="none"/>
          <w:rtl/>
        </w:rPr>
        <w:t xml:space="preserve"> אמר לך לא לבוא לשכירות? לחוזה?</w:t>
      </w:r>
      <w:bookmarkStart w:id="70" w:name="_ETM_Q_492869"/>
      <w:bookmarkEnd w:id="70"/>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כשהבאנו בן אדם להשכיר</w:t>
      </w:r>
      <w:bookmarkStart w:id="71" w:name="_ETM_Q_495220"/>
      <w:bookmarkEnd w:id="71"/>
      <w:r>
        <w:rPr>
          <w:rFonts w:ascii="Arial" w:hAnsi="Arial" w:cs="David"/>
          <w:sz w:val="24"/>
          <w:szCs w:val="24"/>
          <w:u w:val="none"/>
          <w:rtl/>
        </w:rPr>
        <w:t xml:space="preserve"> את הבית, כשהבאנו בן אדם להשכיר את הבית, הכול התנהל רגיל. הדירה של שנינו. עשינו איתו הסכם</w:t>
      </w:r>
      <w:bookmarkStart w:id="72" w:name="_ETM_Q_501388"/>
      <w:bookmarkEnd w:id="72"/>
      <w:r>
        <w:rPr>
          <w:rFonts w:ascii="Arial" w:hAnsi="Arial" w:cs="David"/>
          <w:sz w:val="24"/>
          <w:szCs w:val="24"/>
          <w:u w:val="none"/>
          <w:rtl/>
        </w:rPr>
        <w:t xml:space="preserve"> שכירות. הכול. אני לקחתי את השכירות, נכון, על החצי</w:t>
      </w:r>
      <w:bookmarkStart w:id="73" w:name="_ETM_Q_503373"/>
      <w:bookmarkEnd w:id="73"/>
      <w:r>
        <w:rPr>
          <w:rFonts w:ascii="Arial" w:hAnsi="Arial" w:cs="David"/>
          <w:sz w:val="24"/>
          <w:szCs w:val="24"/>
          <w:u w:val="none"/>
          <w:rtl/>
        </w:rPr>
        <w:t xml:space="preserve"> הקדמי, אני לקחתי את השכירות. חצי אחורי, זה מקום שלה,</w:t>
      </w:r>
      <w:bookmarkStart w:id="74" w:name="_ETM_Q_508595"/>
      <w:bookmarkEnd w:id="74"/>
      <w:r>
        <w:rPr>
          <w:rFonts w:ascii="Arial" w:hAnsi="Arial" w:cs="David"/>
          <w:sz w:val="24"/>
          <w:szCs w:val="24"/>
          <w:u w:val="none"/>
          <w:rtl/>
        </w:rPr>
        <w:t xml:space="preserve"> שהיא עובדת בו. כמובן. כי אני בידיעה שלי שהבית של</w:t>
      </w:r>
      <w:bookmarkStart w:id="75" w:name="_ETM_Q_513297"/>
      <w:bookmarkEnd w:id="75"/>
      <w:r>
        <w:rPr>
          <w:rFonts w:ascii="Arial" w:hAnsi="Arial" w:cs="David"/>
          <w:sz w:val="24"/>
          <w:szCs w:val="24"/>
          <w:u w:val="none"/>
          <w:rtl/>
        </w:rPr>
        <w:t xml:space="preserve"> שנינו. חצי חצי. אף אחד לא חלם שהיא עשתה מהלך</w:t>
      </w:r>
      <w:bookmarkStart w:id="76" w:name="_ETM_Q_517736"/>
      <w:bookmarkEnd w:id="76"/>
      <w:r>
        <w:rPr>
          <w:rFonts w:ascii="Arial" w:hAnsi="Arial" w:cs="David"/>
          <w:sz w:val="24"/>
          <w:szCs w:val="24"/>
          <w:u w:val="none"/>
          <w:rtl/>
        </w:rPr>
        <w:t xml:space="preserve"> כזה, ורשמה אותו על הילד בכלל. </w:t>
      </w:r>
      <w:bookmarkStart w:id="77" w:name="_ETM_Q_520768"/>
      <w:bookmarkEnd w:id="77"/>
      <w:r>
        <w:rPr>
          <w:rFonts w:ascii="Arial" w:hAnsi="Arial" w:cs="David"/>
          <w:sz w:val="24"/>
          <w:szCs w:val="24"/>
          <w:u w:val="none"/>
          <w:rtl/>
        </w:rPr>
        <w:t>"</w:t>
      </w:r>
    </w:p>
    <w:p w:rsidR="003B659A" w:rsidRDefault="003B659A" w:rsidP="003B659A">
      <w:pPr>
        <w:spacing w:line="360" w:lineRule="auto"/>
        <w:ind w:firstLine="567"/>
        <w:jc w:val="both"/>
        <w:rPr>
          <w:rFonts w:ascii="David" w:hAnsi="David"/>
          <w:rtl/>
        </w:rPr>
      </w:pPr>
      <w:r>
        <w:rPr>
          <w:rFonts w:ascii="David" w:hAnsi="David"/>
          <w:rtl/>
        </w:rPr>
        <w:t>ראו: פרוט' מיום 13.4.2022, עמ' 42, שורות 19-1.</w:t>
      </w:r>
    </w:p>
    <w:p w:rsidR="003B659A" w:rsidRDefault="003B659A" w:rsidP="003B659A">
      <w:pPr>
        <w:spacing w:line="360" w:lineRule="auto"/>
        <w:ind w:firstLine="567"/>
        <w:jc w:val="both"/>
        <w:rPr>
          <w:rFonts w:ascii="David" w:hAnsi="David"/>
          <w:rtl/>
        </w:rPr>
      </w:pPr>
    </w:p>
    <w:p w:rsidR="003B659A" w:rsidRDefault="003B659A" w:rsidP="003B659A">
      <w:pPr>
        <w:pStyle w:val="af"/>
        <w:numPr>
          <w:ilvl w:val="0"/>
          <w:numId w:val="1"/>
        </w:numPr>
        <w:bidi/>
        <w:spacing w:after="0" w:line="360" w:lineRule="auto"/>
        <w:jc w:val="both"/>
        <w:rPr>
          <w:rFonts w:ascii="David" w:hAnsi="David" w:cs="David"/>
          <w:noProof/>
          <w:sz w:val="24"/>
          <w:szCs w:val="24"/>
          <w:rtl/>
          <w:lang w:bidi="he-IL"/>
        </w:rPr>
      </w:pPr>
      <w:r>
        <w:rPr>
          <w:rFonts w:ascii="David" w:hAnsi="David" w:cs="David"/>
          <w:b/>
          <w:bCs/>
          <w:noProof/>
          <w:sz w:val="24"/>
          <w:szCs w:val="24"/>
          <w:u w:val="single"/>
          <w:rtl/>
          <w:lang w:bidi="he-IL"/>
        </w:rPr>
        <w:t xml:space="preserve">גרסתה הסותרת של האישה - </w:t>
      </w:r>
      <w:r>
        <w:rPr>
          <w:rFonts w:ascii="David" w:hAnsi="David" w:cs="David"/>
          <w:noProof/>
          <w:sz w:val="24"/>
          <w:szCs w:val="24"/>
          <w:rtl/>
          <w:lang w:bidi="he-IL"/>
        </w:rPr>
        <w:t xml:space="preserve">נוסף על כך, אני מקבלת את טענת האיש לפיה יש לייחס משקל ראייתי לכך שהאישה הציגה גרסה סותרת בהליך קודם בין הצדדים, לפיה הדירה אכן נרכשה על ידי הצדדים במאמץ משותף, ושייכת לשניהם במשותף. האישה כעת מבקשת לחזור בה מכך ולטעון שההיפך הוא הנכון. </w:t>
      </w:r>
    </w:p>
    <w:p w:rsidR="003B659A" w:rsidRDefault="003B659A" w:rsidP="003B659A">
      <w:pPr>
        <w:pStyle w:val="af"/>
        <w:bidi/>
        <w:spacing w:after="0" w:line="360" w:lineRule="auto"/>
        <w:ind w:left="567"/>
        <w:jc w:val="both"/>
        <w:rPr>
          <w:rFonts w:ascii="David" w:hAnsi="David" w:cs="David"/>
          <w:noProof/>
          <w:sz w:val="24"/>
          <w:szCs w:val="24"/>
          <w:lang w:bidi="he-IL"/>
        </w:rPr>
      </w:pPr>
    </w:p>
    <w:p w:rsidR="003B659A" w:rsidRDefault="003B659A" w:rsidP="00FE0A12">
      <w:pPr>
        <w:pStyle w:val="af"/>
        <w:numPr>
          <w:ilvl w:val="0"/>
          <w:numId w:val="1"/>
        </w:numPr>
        <w:bidi/>
        <w:spacing w:after="0" w:line="360" w:lineRule="auto"/>
        <w:jc w:val="both"/>
        <w:rPr>
          <w:rFonts w:ascii="David" w:hAnsi="David" w:cs="David"/>
          <w:noProof/>
          <w:sz w:val="24"/>
          <w:szCs w:val="24"/>
        </w:rPr>
      </w:pPr>
      <w:r>
        <w:rPr>
          <w:rFonts w:ascii="David" w:hAnsi="David" w:cs="David"/>
          <w:noProof/>
          <w:sz w:val="24"/>
          <w:szCs w:val="24"/>
          <w:rtl/>
          <w:lang w:bidi="he-IL"/>
        </w:rPr>
        <w:t>בכתב תביעתה למזונות הבנות (תמ"ש 17320-02-20) בסעיף 26 לכתב התביעה תחת הכותרת "</w:t>
      </w:r>
      <w:r>
        <w:rPr>
          <w:rFonts w:ascii="David" w:hAnsi="David" w:cs="David"/>
          <w:b/>
          <w:bCs/>
          <w:noProof/>
          <w:sz w:val="24"/>
          <w:szCs w:val="24"/>
          <w:rtl/>
          <w:lang w:bidi="he-IL"/>
        </w:rPr>
        <w:t>רכוש משותף</w:t>
      </w:r>
      <w:r>
        <w:rPr>
          <w:rFonts w:ascii="David" w:hAnsi="David" w:cs="David"/>
          <w:noProof/>
          <w:sz w:val="24"/>
          <w:szCs w:val="24"/>
          <w:rtl/>
          <w:lang w:bidi="he-IL"/>
        </w:rPr>
        <w:t>", ציינה האישה מפורשות כי הדירה היא משותפת: "</w:t>
      </w:r>
      <w:r>
        <w:rPr>
          <w:rFonts w:ascii="David" w:hAnsi="David" w:cs="David"/>
          <w:b/>
          <w:bCs/>
          <w:noProof/>
          <w:sz w:val="24"/>
          <w:szCs w:val="24"/>
          <w:rtl/>
          <w:lang w:bidi="he-IL"/>
        </w:rPr>
        <w:t>בשנת 2016 הצדדים רכשו במאמץ משותף דירת מגורים נוספת בסך של 1,280,000 ₪ המצויה ברח'. הנכס נקי מכל שיעבוד, עיקול ו/או משכנתא.</w:t>
      </w:r>
      <w:r>
        <w:rPr>
          <w:rFonts w:ascii="David" w:hAnsi="David" w:cs="David"/>
          <w:noProof/>
          <w:sz w:val="24"/>
          <w:szCs w:val="24"/>
          <w:rtl/>
          <w:lang w:bidi="he-IL"/>
        </w:rPr>
        <w:t>".</w:t>
      </w:r>
    </w:p>
    <w:p w:rsidR="003B659A" w:rsidRDefault="003B659A" w:rsidP="003B659A">
      <w:pPr>
        <w:pStyle w:val="af"/>
        <w:bidi/>
        <w:spacing w:after="0" w:line="360" w:lineRule="auto"/>
        <w:ind w:left="567"/>
        <w:jc w:val="both"/>
        <w:rPr>
          <w:lang w:bidi="he-IL"/>
        </w:rPr>
      </w:pPr>
    </w:p>
    <w:p w:rsidR="003B659A" w:rsidRDefault="003B659A" w:rsidP="003B659A">
      <w:pPr>
        <w:pStyle w:val="af"/>
        <w:numPr>
          <w:ilvl w:val="0"/>
          <w:numId w:val="1"/>
        </w:numPr>
        <w:bidi/>
        <w:spacing w:after="0" w:line="360" w:lineRule="auto"/>
        <w:jc w:val="both"/>
        <w:rPr>
          <w:rtl/>
          <w:lang w:bidi="he-IL"/>
        </w:rPr>
      </w:pPr>
      <w:r>
        <w:rPr>
          <w:rFonts w:ascii="David" w:hAnsi="David" w:cs="David"/>
          <w:noProof/>
          <w:sz w:val="24"/>
          <w:szCs w:val="24"/>
          <w:rtl/>
          <w:lang w:bidi="he-IL"/>
        </w:rPr>
        <w:t xml:space="preserve">הצהרה זו בכתב תביעה שהוגש טרם שהגיש האיש את התביעה הנוכחית (שהוגשה רק בחודש </w:t>
      </w:r>
      <w:r>
        <w:rPr>
          <w:rFonts w:ascii="David" w:hAnsi="David" w:cs="David" w:hint="cs"/>
          <w:noProof/>
          <w:sz w:val="24"/>
          <w:szCs w:val="24"/>
          <w:rtl/>
          <w:lang w:bidi="he-IL"/>
        </w:rPr>
        <w:t>3</w:t>
      </w:r>
      <w:r>
        <w:rPr>
          <w:rFonts w:ascii="David" w:hAnsi="David" w:cs="David"/>
          <w:noProof/>
          <w:sz w:val="24"/>
          <w:szCs w:val="24"/>
          <w:rtl/>
          <w:lang w:bidi="he-IL"/>
        </w:rPr>
        <w:t>/</w:t>
      </w:r>
      <w:r>
        <w:rPr>
          <w:rFonts w:ascii="David" w:hAnsi="David" w:cs="David" w:hint="cs"/>
          <w:noProof/>
          <w:sz w:val="24"/>
          <w:szCs w:val="24"/>
          <w:rtl/>
          <w:lang w:bidi="he-IL"/>
        </w:rPr>
        <w:t>2021</w:t>
      </w:r>
      <w:r>
        <w:rPr>
          <w:rFonts w:ascii="David" w:hAnsi="David" w:cs="David"/>
          <w:noProof/>
          <w:sz w:val="24"/>
          <w:szCs w:val="24"/>
          <w:rtl/>
          <w:lang w:bidi="he-IL"/>
        </w:rPr>
        <w:t>) יוצרת השתק שיפוטי ביחס לטענותיה החדשות של האישה בתביעה זו אשר סותרות את גרסתה הקודמת, ולפיכך יש לדחות את הטענות הסותרות:</w:t>
      </w:r>
    </w:p>
    <w:p w:rsidR="003B659A" w:rsidRDefault="003B659A" w:rsidP="003B659A">
      <w:pPr>
        <w:pStyle w:val="af"/>
        <w:bidi/>
        <w:spacing w:after="0" w:line="360" w:lineRule="auto"/>
        <w:ind w:left="1701" w:right="1701"/>
        <w:jc w:val="both"/>
        <w:rPr>
          <w:rFonts w:ascii="David" w:hAnsi="David" w:cs="David"/>
          <w:b/>
          <w:bCs/>
          <w:noProof/>
          <w:sz w:val="24"/>
          <w:szCs w:val="24"/>
        </w:rPr>
      </w:pPr>
      <w:r>
        <w:rPr>
          <w:rFonts w:ascii="David" w:hAnsi="David" w:cs="David"/>
          <w:noProof/>
          <w:sz w:val="24"/>
          <w:szCs w:val="24"/>
          <w:lang w:bidi="he-IL"/>
        </w:rPr>
        <w:t>"</w:t>
      </w:r>
      <w:r>
        <w:rPr>
          <w:rFonts w:ascii="David" w:hAnsi="David" w:cs="David"/>
          <w:b/>
          <w:bCs/>
          <w:noProof/>
          <w:sz w:val="24"/>
          <w:szCs w:val="24"/>
          <w:rtl/>
          <w:lang w:bidi="he-IL"/>
        </w:rPr>
        <w:t xml:space="preserve">הטענה בדבר השתק שיפוטי יכולה להתעורר מקום בו אחד מבעלי הדין מעלה טענות עובדתיות או משפטיות סותרות </w:t>
      </w:r>
      <w:r>
        <w:rPr>
          <w:rFonts w:ascii="David" w:hAnsi="David" w:cs="David"/>
          <w:b/>
          <w:bCs/>
          <w:noProof/>
          <w:sz w:val="24"/>
          <w:szCs w:val="24"/>
          <w:rtl/>
          <w:lang w:bidi="he-IL"/>
        </w:rPr>
        <w:lastRenderedPageBreak/>
        <w:t>באותו הליך עצמו או בשני הליכים שונים (ניתן לראות באיסור על העלאת טענות עובדתיות חלופיות כנגד אותו בעל דין בכתב טענות אחד משום דוגמה של השתק שיפוטי; האיסור קבוע בתקנה 72(ב) לתקנות סדר הדין האזרחי, התשמ"ד-1984). התכלית שמאחורי ההשתק השיפוטי היא למנוע פגיעה  בטוהר ההליך השיפוטי ובאמון הציבור במערכת המשפט וכן להניא מפני ניצולם לרעה של בתי המשפט</w:t>
      </w:r>
      <w:r>
        <w:rPr>
          <w:rFonts w:ascii="David" w:hAnsi="David" w:cs="David"/>
          <w:b/>
          <w:bCs/>
          <w:noProof/>
          <w:sz w:val="24"/>
          <w:szCs w:val="24"/>
        </w:rPr>
        <w:t xml:space="preserve"> "</w:t>
      </w:r>
    </w:p>
    <w:p w:rsidR="003B659A" w:rsidRDefault="003B659A" w:rsidP="003B659A">
      <w:pPr>
        <w:pStyle w:val="af"/>
        <w:bidi/>
        <w:spacing w:after="0" w:line="360" w:lineRule="auto"/>
        <w:jc w:val="both"/>
        <w:rPr>
          <w:rFonts w:ascii="David" w:hAnsi="David" w:cs="David"/>
          <w:noProof/>
          <w:sz w:val="24"/>
          <w:szCs w:val="24"/>
          <w:lang w:bidi="he-IL"/>
        </w:rPr>
      </w:pPr>
      <w:r>
        <w:rPr>
          <w:rFonts w:ascii="David" w:hAnsi="David" w:cs="David"/>
          <w:noProof/>
          <w:sz w:val="24"/>
          <w:szCs w:val="24"/>
          <w:rtl/>
          <w:lang w:bidi="he-IL"/>
        </w:rPr>
        <w:t>ראו:</w:t>
      </w:r>
      <w:r>
        <w:rPr>
          <w:rFonts w:ascii="David" w:hAnsi="David" w:cs="David"/>
          <w:noProof/>
          <w:sz w:val="24"/>
          <w:szCs w:val="24"/>
          <w:lang w:bidi="he-IL"/>
        </w:rPr>
        <w:t xml:space="preserve"> </w:t>
      </w:r>
      <w:r>
        <w:rPr>
          <w:rFonts w:ascii="David" w:hAnsi="David" w:cs="David"/>
          <w:noProof/>
          <w:sz w:val="24"/>
          <w:szCs w:val="24"/>
          <w:rtl/>
          <w:lang w:bidi="he-IL"/>
        </w:rPr>
        <w:t>רע</w:t>
      </w:r>
      <w:r>
        <w:rPr>
          <w:rFonts w:ascii="David" w:hAnsi="David" w:cs="Times New Roman"/>
          <w:noProof/>
          <w:sz w:val="24"/>
          <w:szCs w:val="24"/>
          <w:rtl/>
        </w:rPr>
        <w:t>"</w:t>
      </w:r>
      <w:r>
        <w:rPr>
          <w:rFonts w:ascii="David" w:hAnsi="David" w:cs="David"/>
          <w:noProof/>
          <w:sz w:val="24"/>
          <w:szCs w:val="24"/>
          <w:rtl/>
          <w:lang w:bidi="he-IL"/>
        </w:rPr>
        <w:t xml:space="preserve">א </w:t>
      </w:r>
      <w:r>
        <w:rPr>
          <w:rFonts w:ascii="David" w:hAnsi="David" w:cs="Times New Roman"/>
          <w:noProof/>
          <w:sz w:val="24"/>
          <w:szCs w:val="24"/>
          <w:rtl/>
        </w:rPr>
        <w:t xml:space="preserve">4224/04 </w:t>
      </w:r>
      <w:r>
        <w:rPr>
          <w:rFonts w:ascii="Miriam" w:hAnsi="Miriam" w:cs="Miriam"/>
          <w:noProof/>
          <w:sz w:val="24"/>
          <w:szCs w:val="24"/>
          <w:rtl/>
          <w:lang w:bidi="he-IL"/>
        </w:rPr>
        <w:t>בית ששון בע</w:t>
      </w:r>
      <w:r>
        <w:rPr>
          <w:rFonts w:ascii="Miriam" w:hAnsi="Miriam" w:cs="Times New Roman"/>
          <w:noProof/>
          <w:sz w:val="24"/>
          <w:szCs w:val="24"/>
          <w:rtl/>
        </w:rPr>
        <w:t>"</w:t>
      </w:r>
      <w:r>
        <w:rPr>
          <w:rFonts w:ascii="Miriam" w:hAnsi="Miriam" w:cs="Miriam"/>
          <w:noProof/>
          <w:sz w:val="24"/>
          <w:szCs w:val="24"/>
          <w:rtl/>
          <w:lang w:bidi="he-IL"/>
        </w:rPr>
        <w:t>מ נ</w:t>
      </w:r>
      <w:r>
        <w:rPr>
          <w:rFonts w:ascii="Miriam" w:hAnsi="Miriam" w:cs="Times New Roman"/>
          <w:noProof/>
          <w:sz w:val="24"/>
          <w:szCs w:val="24"/>
          <w:rtl/>
        </w:rPr>
        <w:t xml:space="preserve">' </w:t>
      </w:r>
      <w:r>
        <w:rPr>
          <w:rFonts w:ascii="Miriam" w:hAnsi="Miriam" w:cs="Miriam"/>
          <w:noProof/>
          <w:sz w:val="24"/>
          <w:szCs w:val="24"/>
          <w:rtl/>
          <w:lang w:bidi="he-IL"/>
        </w:rPr>
        <w:t>שיכון עובדים והשקעות בע</w:t>
      </w:r>
      <w:r>
        <w:rPr>
          <w:rFonts w:ascii="Miriam" w:hAnsi="Miriam" w:cs="Times New Roman"/>
          <w:noProof/>
          <w:sz w:val="24"/>
          <w:szCs w:val="24"/>
          <w:rtl/>
        </w:rPr>
        <w:t>"</w:t>
      </w:r>
      <w:r>
        <w:rPr>
          <w:rFonts w:ascii="Miriam" w:hAnsi="Miriam" w:cs="Miriam"/>
          <w:noProof/>
          <w:sz w:val="24"/>
          <w:szCs w:val="24"/>
          <w:rtl/>
          <w:lang w:bidi="he-IL"/>
        </w:rPr>
        <w:t>מ</w:t>
      </w:r>
      <w:r>
        <w:rPr>
          <w:rFonts w:ascii="David" w:hAnsi="David" w:cs="Times New Roman"/>
          <w:noProof/>
          <w:sz w:val="24"/>
          <w:szCs w:val="24"/>
          <w:rtl/>
        </w:rPr>
        <w:t xml:space="preserve">, </w:t>
      </w:r>
      <w:r>
        <w:rPr>
          <w:rFonts w:ascii="David" w:hAnsi="David" w:cs="David"/>
          <w:noProof/>
          <w:sz w:val="24"/>
          <w:szCs w:val="24"/>
          <w:rtl/>
          <w:lang w:bidi="he-IL"/>
        </w:rPr>
        <w:t>פ</w:t>
      </w:r>
      <w:r>
        <w:rPr>
          <w:rFonts w:ascii="David" w:hAnsi="David" w:cs="Times New Roman"/>
          <w:noProof/>
          <w:sz w:val="24"/>
          <w:szCs w:val="24"/>
          <w:rtl/>
        </w:rPr>
        <w:t>"</w:t>
      </w:r>
      <w:r>
        <w:rPr>
          <w:rFonts w:ascii="David" w:hAnsi="David" w:cs="David"/>
          <w:noProof/>
          <w:sz w:val="24"/>
          <w:szCs w:val="24"/>
          <w:rtl/>
          <w:lang w:bidi="he-IL"/>
        </w:rPr>
        <w:t>ד נט</w:t>
      </w:r>
      <w:r>
        <w:rPr>
          <w:rFonts w:ascii="David" w:hAnsi="David" w:cs="Times New Roman"/>
          <w:noProof/>
          <w:sz w:val="24"/>
          <w:szCs w:val="24"/>
          <w:rtl/>
        </w:rPr>
        <w:t>(6) 625</w:t>
      </w:r>
      <w:r>
        <w:rPr>
          <w:rFonts w:ascii="David" w:hAnsi="David" w:cs="David"/>
          <w:noProof/>
          <w:sz w:val="24"/>
          <w:szCs w:val="24"/>
          <w:rtl/>
          <w:lang w:bidi="he-IL"/>
        </w:rPr>
        <w:t>.</w:t>
      </w:r>
    </w:p>
    <w:p w:rsidR="003B659A" w:rsidRDefault="003B659A" w:rsidP="003B659A">
      <w:pPr>
        <w:pStyle w:val="af"/>
        <w:bidi/>
        <w:spacing w:after="0" w:line="360" w:lineRule="auto"/>
        <w:ind w:left="567"/>
        <w:jc w:val="both"/>
        <w:rPr>
          <w:rFonts w:ascii="David" w:hAnsi="David" w:cs="David"/>
          <w:noProof/>
          <w:sz w:val="24"/>
          <w:szCs w:val="24"/>
        </w:rPr>
      </w:pPr>
    </w:p>
    <w:p w:rsidR="003B659A" w:rsidRDefault="003B659A" w:rsidP="003B659A">
      <w:pPr>
        <w:pStyle w:val="af"/>
        <w:numPr>
          <w:ilvl w:val="0"/>
          <w:numId w:val="1"/>
        </w:numPr>
        <w:bidi/>
        <w:spacing w:after="0" w:line="360" w:lineRule="auto"/>
        <w:jc w:val="both"/>
        <w:rPr>
          <w:rFonts w:ascii="David" w:hAnsi="David" w:cs="David"/>
          <w:noProof/>
          <w:sz w:val="24"/>
          <w:szCs w:val="24"/>
        </w:rPr>
      </w:pPr>
      <w:r>
        <w:rPr>
          <w:rFonts w:ascii="David" w:hAnsi="David" w:cs="David"/>
          <w:noProof/>
          <w:sz w:val="24"/>
          <w:szCs w:val="24"/>
          <w:rtl/>
          <w:lang w:bidi="he-IL"/>
        </w:rPr>
        <w:t xml:space="preserve">כאשר נשאלה על כך </w:t>
      </w:r>
      <w:r>
        <w:rPr>
          <w:rFonts w:ascii="David" w:hAnsi="David" w:cs="David"/>
          <w:b/>
          <w:bCs/>
          <w:noProof/>
          <w:sz w:val="24"/>
          <w:szCs w:val="24"/>
          <w:rtl/>
          <w:lang w:bidi="he-IL"/>
        </w:rPr>
        <w:t>האישה</w:t>
      </w:r>
      <w:r>
        <w:rPr>
          <w:rFonts w:ascii="David" w:hAnsi="David" w:cs="David"/>
          <w:noProof/>
          <w:sz w:val="24"/>
          <w:szCs w:val="24"/>
          <w:rtl/>
          <w:lang w:bidi="he-IL"/>
        </w:rPr>
        <w:t xml:space="preserve"> בחקירתה, ענתה כי כוונתה בכתובים הייתה לכך שהרכישה הייתה משותפת, אך המטרה הייתה מלכתחילה לרכוש עבור הבן:</w:t>
      </w:r>
    </w:p>
    <w:p w:rsidR="003B659A" w:rsidRDefault="003B659A" w:rsidP="00FE0A12">
      <w:pPr>
        <w:pStyle w:val="ad"/>
        <w:shd w:val="clear" w:color="auto" w:fill="auto"/>
        <w:spacing w:line="360" w:lineRule="auto"/>
        <w:ind w:left="567" w:firstLine="0"/>
        <w:jc w:val="both"/>
        <w:rPr>
          <w:rFonts w:ascii="Arial" w:hAnsi="Arial" w:cs="David"/>
          <w:sz w:val="24"/>
          <w:szCs w:val="24"/>
        </w:rPr>
      </w:pPr>
      <w:r>
        <w:rPr>
          <w:rFonts w:ascii="Arial" w:hAnsi="Arial" w:cs="David"/>
          <w:sz w:val="24"/>
          <w:szCs w:val="24"/>
          <w:u w:val="none"/>
          <w:rtl/>
        </w:rPr>
        <w:t>"</w:t>
      </w:r>
      <w:r>
        <w:rPr>
          <w:rFonts w:ascii="Arial" w:hAnsi="Arial" w:cs="David"/>
          <w:sz w:val="24"/>
          <w:szCs w:val="24"/>
          <w:rtl/>
        </w:rPr>
        <w:t>ש: בכתב תביעה</w:t>
      </w:r>
      <w:bookmarkStart w:id="78" w:name="_ETM_Q_676926"/>
      <w:bookmarkEnd w:id="78"/>
      <w:r>
        <w:rPr>
          <w:rFonts w:ascii="Arial" w:hAnsi="Arial" w:cs="David"/>
          <w:sz w:val="24"/>
          <w:szCs w:val="24"/>
          <w:rtl/>
        </w:rPr>
        <w:t xml:space="preserve"> למזונות הבנות, רשמת, ב16.1.20, תצהיר שלך. בתצהיר הזה</w:t>
      </w:r>
      <w:bookmarkStart w:id="79" w:name="_ETM_Q_688160"/>
      <w:bookmarkEnd w:id="79"/>
      <w:r>
        <w:rPr>
          <w:rFonts w:ascii="Arial" w:hAnsi="Arial" w:cs="David"/>
          <w:sz w:val="24"/>
          <w:szCs w:val="24"/>
          <w:rtl/>
        </w:rPr>
        <w:t xml:space="preserve"> תבעת ואמרת, הודעת, אני יכולה להראות לך את המסמך שאת</w:t>
      </w:r>
      <w:bookmarkStart w:id="80" w:name="_ETM_Q_693124"/>
      <w:bookmarkEnd w:id="80"/>
      <w:r>
        <w:rPr>
          <w:rFonts w:ascii="Arial" w:hAnsi="Arial" w:cs="David"/>
          <w:sz w:val="24"/>
          <w:szCs w:val="24"/>
          <w:rtl/>
        </w:rPr>
        <w:t xml:space="preserve"> מודיעה, שהבית ב הוא בית של שניכם.</w:t>
      </w:r>
      <w:bookmarkStart w:id="81" w:name="_ETM_Q_698348"/>
      <w:bookmarkEnd w:id="81"/>
      <w:r>
        <w:rPr>
          <w:rFonts w:ascii="Arial" w:hAnsi="Arial" w:cs="David"/>
          <w:sz w:val="24"/>
          <w:szCs w:val="24"/>
          <w:rtl/>
        </w:rPr>
        <w:t xml:space="preserve"> מה את אומרת על זה?</w:t>
      </w:r>
    </w:p>
    <w:p w:rsidR="003B659A" w:rsidRDefault="003B659A" w:rsidP="003B659A">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ת: שרכשנו אותו ביחד. </w:t>
      </w:r>
      <w:bookmarkStart w:id="82" w:name="_ETM_Q_697980"/>
      <w:bookmarkEnd w:id="82"/>
    </w:p>
    <w:p w:rsidR="003B659A" w:rsidRDefault="003B659A" w:rsidP="003B659A">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ש: שרכשתם אותו</w:t>
      </w:r>
      <w:bookmarkStart w:id="83" w:name="_ETM_Q_702941"/>
      <w:bookmarkEnd w:id="83"/>
      <w:r>
        <w:rPr>
          <w:rFonts w:ascii="Arial" w:hAnsi="Arial" w:cs="David"/>
          <w:sz w:val="24"/>
          <w:szCs w:val="24"/>
          <w:rtl/>
        </w:rPr>
        <w:t xml:space="preserve"> ביחד. אוקיי. זאת אומרת את מודה שרכשתם אותו ביחד. </w:t>
      </w:r>
      <w:bookmarkStart w:id="84" w:name="_ETM_Q_707381"/>
      <w:bookmarkEnd w:id="84"/>
    </w:p>
    <w:p w:rsidR="003B659A" w:rsidRDefault="003B659A" w:rsidP="003B659A">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הוא</w:t>
      </w:r>
      <w:bookmarkStart w:id="85" w:name="_ETM_Q_707909"/>
      <w:bookmarkEnd w:id="85"/>
      <w:r>
        <w:rPr>
          <w:rFonts w:ascii="Arial" w:hAnsi="Arial" w:cs="David"/>
          <w:sz w:val="24"/>
          <w:szCs w:val="24"/>
          <w:rtl/>
        </w:rPr>
        <w:t xml:space="preserve"> לא על שמנו.</w:t>
      </w:r>
      <w:bookmarkStart w:id="86" w:name="_ETM_Q_708950"/>
      <w:bookmarkEnd w:id="86"/>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אבל רכשתם אותו ביחד. </w:t>
      </w:r>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bookmarkStart w:id="87" w:name="_ETM_Q_711301"/>
      <w:bookmarkEnd w:id="87"/>
      <w:r>
        <w:rPr>
          <w:rFonts w:ascii="Arial" w:hAnsi="Arial" w:cs="David"/>
          <w:sz w:val="24"/>
          <w:szCs w:val="24"/>
          <w:u w:val="none"/>
          <w:rtl/>
        </w:rPr>
        <w:t>ת: הייתה לו מטרה.</w:t>
      </w:r>
      <w:bookmarkStart w:id="88" w:name="_ETM_Q_713129"/>
      <w:bookmarkEnd w:id="88"/>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מאיזה כסף?</w:t>
      </w:r>
      <w:bookmarkStart w:id="89" w:name="_ETM_Q_714435"/>
      <w:bookmarkEnd w:id="89"/>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רכשנו</w:t>
      </w:r>
      <w:bookmarkStart w:id="90" w:name="_ETM_Q_715221"/>
      <w:bookmarkEnd w:id="90"/>
      <w:r>
        <w:rPr>
          <w:rFonts w:ascii="Arial" w:hAnsi="Arial" w:cs="David"/>
          <w:sz w:val="24"/>
          <w:szCs w:val="24"/>
          <w:rtl/>
        </w:rPr>
        <w:t xml:space="preserve"> אותו ביחד</w:t>
      </w:r>
      <w:r>
        <w:rPr>
          <w:rFonts w:ascii="Arial" w:hAnsi="Arial" w:cs="David"/>
          <w:sz w:val="24"/>
          <w:szCs w:val="24"/>
          <w:u w:val="none"/>
          <w:rtl/>
        </w:rPr>
        <w:t>.</w:t>
      </w:r>
      <w:bookmarkStart w:id="91" w:name="_ETM_Q_716264"/>
      <w:bookmarkEnd w:id="91"/>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שאלתי מאיזה כסף.</w:t>
      </w:r>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bookmarkStart w:id="92" w:name="_ETM_Q_714309"/>
      <w:bookmarkEnd w:id="92"/>
      <w:r>
        <w:rPr>
          <w:rFonts w:ascii="Arial" w:hAnsi="Arial" w:cs="David"/>
          <w:sz w:val="24"/>
          <w:szCs w:val="24"/>
          <w:u w:val="none"/>
          <w:rtl/>
        </w:rPr>
        <w:t>ת: אין דרך אחרת. אין לי אבא.</w:t>
      </w:r>
      <w:bookmarkStart w:id="93" w:name="_ETM_Q_718250"/>
      <w:bookmarkEnd w:id="93"/>
      <w:r>
        <w:rPr>
          <w:rFonts w:ascii="Arial" w:hAnsi="Arial" w:cs="David"/>
          <w:sz w:val="24"/>
          <w:szCs w:val="24"/>
          <w:u w:val="none"/>
          <w:rtl/>
        </w:rPr>
        <w:t xml:space="preserve"> </w:t>
      </w:r>
      <w:bookmarkStart w:id="94" w:name="_ETM_Q_718511"/>
      <w:bookmarkEnd w:id="94"/>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אין לך אבא. </w:t>
      </w:r>
      <w:r>
        <w:rPr>
          <w:rFonts w:ascii="Arial" w:hAnsi="Arial" w:cs="David"/>
          <w:sz w:val="24"/>
          <w:szCs w:val="24"/>
          <w:rtl/>
        </w:rPr>
        <w:t>מאיזה כסף?</w:t>
      </w:r>
      <w:r>
        <w:rPr>
          <w:rFonts w:ascii="Arial" w:hAnsi="Arial" w:cs="David"/>
          <w:sz w:val="24"/>
          <w:szCs w:val="24"/>
          <w:u w:val="none"/>
          <w:rtl/>
        </w:rPr>
        <w:t xml:space="preserve"> הכסף שלך ושלו?</w:t>
      </w:r>
      <w:bookmarkStart w:id="95" w:name="_ETM_Q_719159"/>
      <w:bookmarkEnd w:id="95"/>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שלי ושלו</w:t>
      </w:r>
      <w:r>
        <w:rPr>
          <w:rFonts w:ascii="Arial" w:hAnsi="Arial" w:cs="David"/>
          <w:sz w:val="24"/>
          <w:szCs w:val="24"/>
          <w:u w:val="none"/>
          <w:rtl/>
        </w:rPr>
        <w:t>. במטרה</w:t>
      </w:r>
      <w:bookmarkStart w:id="96" w:name="_ETM_Q_720988"/>
      <w:bookmarkEnd w:id="96"/>
      <w:r>
        <w:rPr>
          <w:rFonts w:ascii="Arial" w:hAnsi="Arial" w:cs="David"/>
          <w:sz w:val="24"/>
          <w:szCs w:val="24"/>
          <w:u w:val="none"/>
          <w:rtl/>
        </w:rPr>
        <w:t>,</w:t>
      </w:r>
      <w:bookmarkStart w:id="97" w:name="_ETM_Q_723340"/>
      <w:bookmarkEnd w:id="97"/>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ביחד. ביחד. </w:t>
      </w:r>
      <w:bookmarkStart w:id="98" w:name="_ETM_Q_724644"/>
      <w:bookmarkEnd w:id="98"/>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לקדם את הבן.</w:t>
      </w:r>
      <w:bookmarkStart w:id="99" w:name="_ETM_Q_726738"/>
      <w:bookmarkEnd w:id="99"/>
      <w:r>
        <w:rPr>
          <w:rFonts w:ascii="Arial" w:hAnsi="Arial" w:cs="David"/>
          <w:sz w:val="24"/>
          <w:szCs w:val="24"/>
          <w:u w:val="none"/>
          <w:rtl/>
        </w:rPr>
        <w:t>"</w:t>
      </w:r>
    </w:p>
    <w:p w:rsidR="003B659A" w:rsidRDefault="003B659A" w:rsidP="003B659A">
      <w:pPr>
        <w:spacing w:line="360" w:lineRule="auto"/>
        <w:ind w:firstLine="567"/>
        <w:jc w:val="both"/>
        <w:rPr>
          <w:rFonts w:ascii="David" w:hAnsi="David"/>
          <w:rtl/>
        </w:rPr>
      </w:pPr>
      <w:r>
        <w:rPr>
          <w:rFonts w:ascii="David" w:hAnsi="David"/>
          <w:rtl/>
        </w:rPr>
        <w:t>ראו: פרוט' מיום 13.4.2022, עמ' 44, שורות 16-1 (ההדגשות בקו – הוספו).</w:t>
      </w:r>
    </w:p>
    <w:p w:rsidR="003B659A" w:rsidRDefault="003B659A" w:rsidP="003B659A">
      <w:pPr>
        <w:pStyle w:val="af"/>
        <w:bidi/>
        <w:spacing w:after="0" w:line="360" w:lineRule="auto"/>
        <w:jc w:val="both"/>
        <w:rPr>
          <w:rFonts w:ascii="David" w:hAnsi="David" w:cs="David"/>
          <w:noProof/>
          <w:sz w:val="24"/>
          <w:szCs w:val="24"/>
          <w:rtl/>
          <w:lang w:bidi="he-IL"/>
        </w:rPr>
      </w:pPr>
    </w:p>
    <w:p w:rsidR="003B659A" w:rsidRDefault="003B659A" w:rsidP="003B659A">
      <w:pPr>
        <w:pStyle w:val="af"/>
        <w:numPr>
          <w:ilvl w:val="0"/>
          <w:numId w:val="1"/>
        </w:numPr>
        <w:bidi/>
        <w:spacing w:after="0" w:line="360" w:lineRule="auto"/>
        <w:jc w:val="both"/>
        <w:rPr>
          <w:rFonts w:ascii="David" w:hAnsi="David" w:cs="David"/>
          <w:noProof/>
          <w:sz w:val="24"/>
          <w:szCs w:val="24"/>
          <w:rtl/>
          <w:lang w:bidi="he-IL"/>
        </w:rPr>
      </w:pPr>
      <w:r>
        <w:rPr>
          <w:rFonts w:ascii="David" w:hAnsi="David" w:cs="David"/>
          <w:noProof/>
          <w:sz w:val="24"/>
          <w:szCs w:val="24"/>
          <w:rtl/>
          <w:lang w:bidi="he-IL"/>
        </w:rPr>
        <w:t>גם בהמשך כאשר נשאלה האישה על פרטי הפרטים</w:t>
      </w:r>
      <w:r w:rsidR="00FE0A12">
        <w:rPr>
          <w:rFonts w:ascii="David" w:hAnsi="David" w:cs="David" w:hint="cs"/>
          <w:noProof/>
          <w:sz w:val="24"/>
          <w:szCs w:val="24"/>
          <w:rtl/>
          <w:lang w:bidi="he-IL"/>
        </w:rPr>
        <w:t xml:space="preserve"> </w:t>
      </w:r>
      <w:r>
        <w:rPr>
          <w:rFonts w:ascii="David" w:hAnsi="David" w:cs="David"/>
          <w:noProof/>
          <w:sz w:val="24"/>
          <w:szCs w:val="24"/>
          <w:rtl/>
          <w:lang w:bidi="he-IL"/>
        </w:rPr>
        <w:t>של ההתנהלות הקשורה לדירה עדותה לא הייתה משכנעת.</w:t>
      </w:r>
    </w:p>
    <w:p w:rsidR="003B659A" w:rsidRDefault="003B659A" w:rsidP="003B659A">
      <w:pPr>
        <w:pStyle w:val="af"/>
        <w:bidi/>
        <w:spacing w:after="0" w:line="360" w:lineRule="auto"/>
        <w:ind w:left="567"/>
        <w:jc w:val="both"/>
        <w:rPr>
          <w:rFonts w:ascii="David" w:hAnsi="David" w:cs="David"/>
          <w:noProof/>
          <w:sz w:val="24"/>
          <w:szCs w:val="24"/>
          <w:lang w:bidi="he-IL"/>
        </w:rPr>
      </w:pPr>
    </w:p>
    <w:p w:rsidR="003B659A" w:rsidRDefault="003B659A" w:rsidP="003B659A">
      <w:pPr>
        <w:pStyle w:val="af"/>
        <w:numPr>
          <w:ilvl w:val="0"/>
          <w:numId w:val="1"/>
        </w:numPr>
        <w:bidi/>
        <w:spacing w:after="0" w:line="360" w:lineRule="auto"/>
        <w:jc w:val="both"/>
        <w:rPr>
          <w:rFonts w:ascii="David" w:hAnsi="David" w:cs="David"/>
          <w:noProof/>
          <w:sz w:val="24"/>
          <w:szCs w:val="24"/>
          <w:lang w:bidi="he-IL"/>
        </w:rPr>
      </w:pPr>
      <w:r>
        <w:rPr>
          <w:rFonts w:ascii="David" w:hAnsi="David" w:cs="David"/>
          <w:noProof/>
          <w:sz w:val="24"/>
          <w:szCs w:val="24"/>
          <w:rtl/>
          <w:lang w:bidi="he-IL"/>
        </w:rPr>
        <w:t xml:space="preserve">בהמשך, כאשר נשאלה </w:t>
      </w:r>
      <w:r>
        <w:rPr>
          <w:rFonts w:ascii="David" w:hAnsi="David" w:cs="David"/>
          <w:b/>
          <w:bCs/>
          <w:noProof/>
          <w:sz w:val="24"/>
          <w:szCs w:val="24"/>
          <w:rtl/>
          <w:lang w:bidi="he-IL"/>
        </w:rPr>
        <w:t>האישה</w:t>
      </w:r>
      <w:r>
        <w:rPr>
          <w:rFonts w:ascii="David" w:hAnsi="David" w:cs="David"/>
          <w:noProof/>
          <w:sz w:val="24"/>
          <w:szCs w:val="24"/>
          <w:rtl/>
          <w:lang w:bidi="he-IL"/>
        </w:rPr>
        <w:t xml:space="preserve"> על הערת האזהרה:</w:t>
      </w:r>
    </w:p>
    <w:p w:rsidR="003B659A" w:rsidRDefault="003B659A" w:rsidP="00FE0A12">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"ש: אוקי. אוקי. עכשיו, לגבי הדירה,</w:t>
      </w:r>
      <w:bookmarkStart w:id="100" w:name="_ETM_Q_1562395"/>
      <w:bookmarkEnd w:id="100"/>
      <w:r>
        <w:rPr>
          <w:rFonts w:ascii="Arial" w:hAnsi="Arial" w:cs="David"/>
          <w:sz w:val="24"/>
          <w:szCs w:val="24"/>
          <w:u w:val="none"/>
          <w:rtl/>
        </w:rPr>
        <w:t xml:space="preserve"> שהיא רשומה על שם הבן שלך, יש גם, הערת</w:t>
      </w:r>
      <w:bookmarkStart w:id="101" w:name="_ETM_Q_1568400"/>
      <w:bookmarkEnd w:id="101"/>
      <w:r>
        <w:rPr>
          <w:rFonts w:ascii="Arial" w:hAnsi="Arial" w:cs="David"/>
          <w:sz w:val="24"/>
          <w:szCs w:val="24"/>
          <w:u w:val="none"/>
          <w:rtl/>
        </w:rPr>
        <w:t xml:space="preserve"> אזהרה, שלך. שלך. באותו יום שנרשם של </w:t>
      </w:r>
      <w:r w:rsidR="00FE0A12">
        <w:rPr>
          <w:rFonts w:ascii="Arial" w:hAnsi="Arial" w:cs="David" w:hint="cs"/>
          <w:sz w:val="24"/>
          <w:szCs w:val="24"/>
          <w:u w:val="none"/>
        </w:rPr>
        <w:t>XXX</w:t>
      </w:r>
      <w:r>
        <w:rPr>
          <w:rFonts w:ascii="Arial" w:hAnsi="Arial" w:cs="David"/>
          <w:sz w:val="24"/>
          <w:szCs w:val="24"/>
          <w:u w:val="none"/>
          <w:rtl/>
        </w:rPr>
        <w:t>, אותו יום את גם רושמת הערת אזהרה. את יכולה להסביר</w:t>
      </w:r>
      <w:bookmarkStart w:id="102" w:name="_ETM_Q_1581719"/>
      <w:bookmarkEnd w:id="102"/>
      <w:r>
        <w:rPr>
          <w:rFonts w:ascii="Arial" w:hAnsi="Arial" w:cs="David"/>
          <w:sz w:val="24"/>
          <w:szCs w:val="24"/>
          <w:u w:val="none"/>
          <w:rtl/>
        </w:rPr>
        <w:t xml:space="preserve"> לבית המשפט מה זה ההערת אזהרה שאת רשמת ב2.4.2017?</w:t>
      </w:r>
      <w:bookmarkStart w:id="103" w:name="_ETM_Q_1590605"/>
      <w:bookmarkEnd w:id="103"/>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אחד זה</w:t>
      </w:r>
      <w:bookmarkStart w:id="104" w:name="_ETM_Q_1591388"/>
      <w:bookmarkEnd w:id="104"/>
      <w:r>
        <w:rPr>
          <w:rFonts w:ascii="Arial" w:hAnsi="Arial" w:cs="David"/>
          <w:sz w:val="24"/>
          <w:szCs w:val="24"/>
          <w:u w:val="none"/>
          <w:rtl/>
        </w:rPr>
        <w:t xml:space="preserve"> לא אני רשמתי. זה רק עו"ד שטיפל ברכישה של הנכס </w:t>
      </w:r>
      <w:bookmarkStart w:id="105" w:name="_ETM_Q_1592690"/>
      <w:bookmarkEnd w:id="105"/>
      <w:r>
        <w:rPr>
          <w:rFonts w:ascii="Arial" w:hAnsi="Arial" w:cs="David"/>
          <w:sz w:val="24"/>
          <w:szCs w:val="24"/>
          <w:u w:val="none"/>
          <w:rtl/>
        </w:rPr>
        <w:t>הזה. אני לא יכולה לרשום הערת אזהרה.</w:t>
      </w:r>
      <w:bookmarkStart w:id="106" w:name="_ETM_Q_1597654"/>
      <w:bookmarkEnd w:id="106"/>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אבל,</w:t>
      </w:r>
      <w:bookmarkStart w:id="107" w:name="_ETM_Q_1598435"/>
      <w:bookmarkEnd w:id="107"/>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ואני לא יכולה, אנ</w:t>
      </w:r>
      <w:bookmarkStart w:id="108" w:name="_ETM_Q_1597284"/>
      <w:bookmarkEnd w:id="108"/>
      <w:r>
        <w:rPr>
          <w:rFonts w:ascii="Arial" w:hAnsi="Arial" w:cs="David"/>
          <w:sz w:val="24"/>
          <w:szCs w:val="24"/>
          <w:u w:val="none"/>
          <w:rtl/>
        </w:rPr>
        <w:t>חנו לא יכולים לתת דירה מתנה ולא להיות גם</w:t>
      </w:r>
      <w:bookmarkStart w:id="109" w:name="_ETM_Q_1602770"/>
      <w:bookmarkEnd w:id="109"/>
      <w:r>
        <w:rPr>
          <w:rFonts w:ascii="Arial" w:hAnsi="Arial" w:cs="David"/>
          <w:sz w:val="24"/>
          <w:szCs w:val="24"/>
          <w:u w:val="none"/>
          <w:rtl/>
        </w:rPr>
        <w:t xml:space="preserve"> בפוקוס על זה. </w:t>
      </w:r>
      <w:bookmarkStart w:id="110" w:name="_ETM_Q_1603190"/>
      <w:bookmarkEnd w:id="110"/>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תודה. </w:t>
      </w:r>
      <w:bookmarkStart w:id="111" w:name="_ETM_Q_1603973"/>
      <w:bookmarkEnd w:id="111"/>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את מבינה?</w:t>
      </w:r>
      <w:bookmarkStart w:id="112" w:name="_ETM_Q_1603351"/>
      <w:bookmarkEnd w:id="112"/>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תודה. </w:t>
      </w:r>
      <w:bookmarkStart w:id="113" w:name="_ETM_Q_1604132"/>
      <w:bookmarkEnd w:id="113"/>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זה </w:t>
      </w:r>
      <w:bookmarkStart w:id="114" w:name="_ETM_Q_1604915"/>
      <w:bookmarkEnd w:id="114"/>
      <w:r>
        <w:rPr>
          <w:rFonts w:ascii="Arial" w:hAnsi="Arial" w:cs="David"/>
          <w:sz w:val="24"/>
          <w:szCs w:val="24"/>
          <w:u w:val="none"/>
          <w:rtl/>
        </w:rPr>
        <w:t>היה לי חשוב.</w:t>
      </w:r>
      <w:bookmarkStart w:id="115" w:name="_ETM_Q_1603504"/>
      <w:bookmarkEnd w:id="115"/>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אמרת, אני הבנתי אותך נכון, אמרת, שאת</w:t>
      </w:r>
      <w:bookmarkStart w:id="116" w:name="_ETM_Q_1607684"/>
      <w:bookmarkEnd w:id="116"/>
      <w:r>
        <w:rPr>
          <w:rFonts w:ascii="Arial" w:hAnsi="Arial" w:cs="David"/>
          <w:sz w:val="24"/>
          <w:szCs w:val="24"/>
          <w:u w:val="none"/>
          <w:rtl/>
        </w:rPr>
        <w:t xml:space="preserve"> לא יכולה לתת דירה ולא להיות בפוקוס. אז מדוע,</w:t>
      </w:r>
      <w:bookmarkStart w:id="117" w:name="_ETM_Q_1608628"/>
      <w:bookmarkEnd w:id="117"/>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קורה</w:t>
      </w:r>
      <w:bookmarkStart w:id="118" w:name="_ETM_Q_1609408"/>
      <w:bookmarkEnd w:id="118"/>
      <w:r>
        <w:rPr>
          <w:rFonts w:ascii="Arial" w:hAnsi="Arial" w:cs="David"/>
          <w:sz w:val="24"/>
          <w:szCs w:val="24"/>
          <w:u w:val="none"/>
          <w:rtl/>
        </w:rPr>
        <w:t xml:space="preserve"> משהו לילד, </w:t>
      </w:r>
      <w:bookmarkStart w:id="119" w:name="_ETM_Q_1612540"/>
      <w:bookmarkEnd w:id="119"/>
    </w:p>
    <w:p w:rsidR="003B659A" w:rsidRDefault="003B659A" w:rsidP="003B659A">
      <w:pPr>
        <w:pStyle w:val="ad"/>
        <w:shd w:val="clear" w:color="auto" w:fill="auto"/>
        <w:spacing w:line="360" w:lineRule="auto"/>
        <w:ind w:hanging="1134"/>
        <w:jc w:val="both"/>
        <w:rPr>
          <w:rFonts w:ascii="Arial" w:hAnsi="Arial" w:cs="David"/>
          <w:sz w:val="24"/>
          <w:szCs w:val="24"/>
          <w:u w:val="none"/>
          <w:rtl/>
        </w:rPr>
      </w:pPr>
      <w:r>
        <w:rPr>
          <w:rFonts w:ascii="Arial" w:hAnsi="Arial" w:cs="David"/>
          <w:sz w:val="24"/>
          <w:szCs w:val="24"/>
          <w:u w:val="none"/>
          <w:rtl/>
        </w:rPr>
        <w:t>ש: אז מדוע את בפוקוס,</w:t>
      </w:r>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אז מי?</w:t>
      </w:r>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bookmarkStart w:id="120" w:name="_ETM_Q_1612416"/>
      <w:bookmarkEnd w:id="120"/>
      <w:r>
        <w:rPr>
          <w:rFonts w:ascii="Arial" w:hAnsi="Arial" w:cs="David"/>
          <w:sz w:val="24"/>
          <w:szCs w:val="24"/>
          <w:u w:val="none"/>
          <w:rtl/>
        </w:rPr>
        <w:t>ש: ולא גם בעלך?</w:t>
      </w:r>
      <w:bookmarkStart w:id="121" w:name="_ETM_Q_1615047"/>
      <w:bookmarkEnd w:id="121"/>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לא</w:t>
      </w:r>
      <w:bookmarkStart w:id="122" w:name="_ETM_Q_1615834"/>
      <w:bookmarkEnd w:id="122"/>
      <w:r>
        <w:rPr>
          <w:rFonts w:ascii="Arial" w:hAnsi="Arial" w:cs="David"/>
          <w:sz w:val="24"/>
          <w:szCs w:val="24"/>
          <w:u w:val="none"/>
          <w:rtl/>
        </w:rPr>
        <w:t xml:space="preserve"> יודעת. הוא לא רצה כנראה.</w:t>
      </w:r>
      <w:bookmarkStart w:id="123" w:name="_ETM_Q_1617923"/>
      <w:bookmarkEnd w:id="123"/>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הוא לא רצה להיות בפוקוס? ככה</w:t>
      </w:r>
      <w:bookmarkStart w:id="124" w:name="_ETM_Q_1621578"/>
      <w:bookmarkEnd w:id="124"/>
      <w:r>
        <w:rPr>
          <w:rFonts w:ascii="Arial" w:hAnsi="Arial" w:cs="David"/>
          <w:sz w:val="24"/>
          <w:szCs w:val="24"/>
          <w:u w:val="none"/>
          <w:rtl/>
        </w:rPr>
        <w:t xml:space="preserve"> הוא כזה מתנער מהכספים שלו?</w:t>
      </w:r>
      <w:bookmarkStart w:id="125" w:name="_ETM_Q_1622521"/>
      <w:bookmarkEnd w:id="125"/>
    </w:p>
    <w:p w:rsidR="003B659A" w:rsidRDefault="003B659A" w:rsidP="003B659A">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את רואה. הוא אומר. הוא</w:t>
      </w:r>
      <w:bookmarkStart w:id="126" w:name="_ETM_Q_1620845"/>
      <w:bookmarkEnd w:id="126"/>
      <w:r>
        <w:rPr>
          <w:rFonts w:ascii="Arial" w:hAnsi="Arial" w:cs="David"/>
          <w:sz w:val="24"/>
          <w:szCs w:val="24"/>
          <w:u w:val="none"/>
          <w:rtl/>
        </w:rPr>
        <w:t xml:space="preserve"> לא היה בחוזה קנייה אפילו. לטענתו.</w:t>
      </w:r>
      <w:bookmarkStart w:id="127" w:name="_ETM_Q_1625284"/>
      <w:bookmarkEnd w:id="127"/>
      <w:r>
        <w:rPr>
          <w:rFonts w:ascii="Arial" w:hAnsi="Arial" w:cs="David"/>
          <w:sz w:val="24"/>
          <w:szCs w:val="24"/>
          <w:u w:val="none"/>
          <w:rtl/>
        </w:rPr>
        <w:t>"</w:t>
      </w:r>
    </w:p>
    <w:p w:rsidR="003B659A" w:rsidRDefault="003B659A" w:rsidP="003B659A">
      <w:pPr>
        <w:spacing w:line="360" w:lineRule="auto"/>
        <w:ind w:firstLine="567"/>
        <w:jc w:val="both"/>
        <w:rPr>
          <w:rFonts w:ascii="David" w:hAnsi="David"/>
          <w:rtl/>
        </w:rPr>
      </w:pPr>
      <w:r>
        <w:rPr>
          <w:rFonts w:ascii="David" w:hAnsi="David"/>
          <w:rtl/>
        </w:rPr>
        <w:t>ראו: פרוט' מיום 13.4.2022, עמ' 53, שורות 30-9.</w:t>
      </w:r>
    </w:p>
    <w:p w:rsidR="003B659A" w:rsidRDefault="003B659A" w:rsidP="003B659A">
      <w:pPr>
        <w:pStyle w:val="af"/>
        <w:bidi/>
        <w:spacing w:after="0" w:line="360" w:lineRule="auto"/>
        <w:jc w:val="both"/>
        <w:rPr>
          <w:rFonts w:ascii="David" w:hAnsi="David" w:cs="David"/>
          <w:noProof/>
          <w:sz w:val="24"/>
          <w:szCs w:val="24"/>
          <w:rtl/>
          <w:lang w:bidi="he-IL"/>
        </w:rPr>
      </w:pPr>
    </w:p>
    <w:p w:rsidR="003B659A" w:rsidRDefault="003B659A" w:rsidP="003B659A">
      <w:pPr>
        <w:pStyle w:val="af"/>
        <w:numPr>
          <w:ilvl w:val="0"/>
          <w:numId w:val="1"/>
        </w:numPr>
        <w:bidi/>
        <w:spacing w:after="0" w:line="360" w:lineRule="auto"/>
        <w:jc w:val="both"/>
        <w:rPr>
          <w:rFonts w:ascii="David" w:hAnsi="David" w:cs="David"/>
          <w:noProof/>
          <w:sz w:val="24"/>
          <w:szCs w:val="24"/>
        </w:rPr>
      </w:pPr>
      <w:r>
        <w:rPr>
          <w:rFonts w:ascii="David" w:hAnsi="David" w:cs="David"/>
          <w:noProof/>
          <w:sz w:val="24"/>
          <w:szCs w:val="24"/>
          <w:rtl/>
          <w:lang w:bidi="he-IL"/>
        </w:rPr>
        <w:t>חקירתה של האישה לא הייתה מהימנה בהקשר זה. הכתוב בכתב תביעתה למזונות ובתצהיר עליו היא חתומה  הוא חד משמעי, ומצביע במפורש על כך שהאישה מייחסת את הדירה לרכושם המשותף – השייך להם כבני זוג אשר צברו רכוש במהלך חייהם המשותפים. שכן, לא בכדי פרטי הדירה מופיעים תחת הכותרת "הרכוש המשותף".</w:t>
      </w:r>
    </w:p>
    <w:p w:rsidR="003B659A" w:rsidRDefault="003B659A" w:rsidP="003B659A">
      <w:pPr>
        <w:pStyle w:val="af"/>
        <w:bidi/>
        <w:spacing w:after="0" w:line="360" w:lineRule="auto"/>
        <w:ind w:left="567"/>
        <w:jc w:val="both"/>
        <w:rPr>
          <w:rFonts w:ascii="David" w:hAnsi="David" w:cs="David"/>
          <w:noProof/>
          <w:sz w:val="24"/>
          <w:szCs w:val="24"/>
        </w:rPr>
      </w:pPr>
    </w:p>
    <w:p w:rsidR="003B659A" w:rsidRDefault="003B659A" w:rsidP="003B659A">
      <w:pPr>
        <w:pStyle w:val="af"/>
        <w:numPr>
          <w:ilvl w:val="0"/>
          <w:numId w:val="1"/>
        </w:numPr>
        <w:bidi/>
        <w:spacing w:after="0" w:line="360" w:lineRule="auto"/>
        <w:jc w:val="both"/>
        <w:rPr>
          <w:rFonts w:ascii="David" w:hAnsi="David" w:cs="David"/>
          <w:noProof/>
          <w:sz w:val="24"/>
          <w:szCs w:val="24"/>
        </w:rPr>
      </w:pPr>
      <w:r>
        <w:rPr>
          <w:rFonts w:ascii="David" w:hAnsi="David" w:cs="David"/>
          <w:noProof/>
          <w:sz w:val="24"/>
          <w:szCs w:val="24"/>
          <w:rtl/>
          <w:lang w:bidi="he-IL"/>
        </w:rPr>
        <w:t xml:space="preserve">יתרה מכך, אני לא מקבלת את טענת האישה בכל הנוגע לסיבת רישום הערת האזהרה. רישום הערת האזהרה מחזק אף הוא את טענת האיש, לפיה מדובר בדירה השייכת לצדדים, אשר נרשמה אך ורק למראית עין על שם הבן, וזאת מסיבות ושיקולים שונים אשר סוכמו או לא סוכמו על ידי הצדדים מראש. הצדדים מימנו את הדירה, שילמו את תשלומי המיסים והתשלומים השוטפים, קיבלו לידם את דמי השכירות והאישה אף ניהלה שם את העסק שלה. </w:t>
      </w:r>
    </w:p>
    <w:p w:rsidR="003B659A" w:rsidRDefault="003B659A" w:rsidP="003B659A">
      <w:pPr>
        <w:pStyle w:val="af"/>
        <w:rPr>
          <w:rFonts w:ascii="David" w:hAnsi="David" w:cs="David"/>
          <w:noProof/>
          <w:sz w:val="24"/>
          <w:szCs w:val="24"/>
        </w:rPr>
      </w:pPr>
    </w:p>
    <w:p w:rsidR="003B659A" w:rsidRDefault="003B659A" w:rsidP="003B659A">
      <w:pPr>
        <w:pStyle w:val="af"/>
        <w:numPr>
          <w:ilvl w:val="0"/>
          <w:numId w:val="1"/>
        </w:numPr>
        <w:bidi/>
        <w:spacing w:after="0" w:line="360" w:lineRule="auto"/>
        <w:jc w:val="both"/>
        <w:rPr>
          <w:rFonts w:ascii="David" w:hAnsi="David" w:cs="David"/>
          <w:noProof/>
          <w:sz w:val="24"/>
          <w:szCs w:val="24"/>
          <w:rtl/>
        </w:rPr>
      </w:pPr>
      <w:r>
        <w:rPr>
          <w:rFonts w:ascii="David" w:hAnsi="David" w:cs="David"/>
          <w:noProof/>
          <w:sz w:val="24"/>
          <w:szCs w:val="24"/>
          <w:rtl/>
          <w:lang w:bidi="he-IL"/>
        </w:rPr>
        <w:lastRenderedPageBreak/>
        <w:t xml:space="preserve">האישה לא סיפקה גרסה נוגדת משכנעת כיצד אם הדירה היא עבור הבן כל הסממנים מעת שנרכשה הם של זכויות לצדדים בלבד: אחזקת הדירה וההחזקה בה, קבלת תשלומי השכירות עבורה, רישום הערת האזהרה, תשלום מלוא התמורה לגביה. </w:t>
      </w:r>
    </w:p>
    <w:p w:rsidR="003B659A" w:rsidRDefault="003B659A" w:rsidP="003B659A">
      <w:pPr>
        <w:pStyle w:val="af"/>
        <w:bidi/>
        <w:spacing w:after="0" w:line="360" w:lineRule="auto"/>
        <w:ind w:left="567"/>
        <w:jc w:val="both"/>
        <w:rPr>
          <w:rFonts w:ascii="David" w:hAnsi="David" w:cs="David"/>
          <w:b/>
          <w:bCs/>
          <w:noProof/>
          <w:sz w:val="24"/>
          <w:szCs w:val="24"/>
        </w:rPr>
      </w:pPr>
    </w:p>
    <w:p w:rsidR="003B659A" w:rsidRDefault="003B659A" w:rsidP="003B659A">
      <w:pPr>
        <w:pStyle w:val="af"/>
        <w:numPr>
          <w:ilvl w:val="0"/>
          <w:numId w:val="1"/>
        </w:numPr>
        <w:bidi/>
        <w:spacing w:after="0" w:line="360" w:lineRule="auto"/>
        <w:jc w:val="both"/>
        <w:rPr>
          <w:rFonts w:ascii="David" w:hAnsi="David" w:cs="David"/>
          <w:b/>
          <w:bCs/>
          <w:noProof/>
          <w:sz w:val="24"/>
          <w:szCs w:val="24"/>
          <w:u w:val="single"/>
        </w:rPr>
      </w:pPr>
      <w:r>
        <w:rPr>
          <w:rFonts w:ascii="David" w:hAnsi="David" w:cs="David"/>
          <w:b/>
          <w:bCs/>
          <w:noProof/>
          <w:sz w:val="24"/>
          <w:szCs w:val="24"/>
          <w:u w:val="single"/>
          <w:rtl/>
          <w:lang w:bidi="he-IL"/>
        </w:rPr>
        <w:t xml:space="preserve">העדרו המהותי של הבן מההליך – </w:t>
      </w:r>
      <w:r>
        <w:rPr>
          <w:rFonts w:ascii="David" w:hAnsi="David" w:cs="David"/>
          <w:noProof/>
          <w:sz w:val="24"/>
          <w:szCs w:val="24"/>
          <w:rtl/>
          <w:lang w:bidi="he-IL"/>
        </w:rPr>
        <w:t xml:space="preserve">הבן חתם על תצהיר לתמיכה בכתב ההגנה. אולם לא הגיע לאף אחד מהדיונים בתיק, לא הגיש תצהיר עדות ראשית ולא נחקר בהתאם בדיון ההוכחות. הסיכומים נכתב שהוגשו רק בשמה של האישה. על כן הבן לא איפשר לבימ"ש לשמוע את טענותיו ולא איפשר לבררן ולחקור אותו עליהן. הדבר מקבל משנה תוקף כאשר לב ליבה של המחלוקת האם הדירה שרשומה על שמו אכן שלו או של הצדדים. בנסיבות הללו להעדרותו יש משקל מהותי רב בהכרעה בהליך. חזקה על הבן כי אם היה מדובר אכן בדירתו היה מגיע ומתמודד עם הטענות שמועלות כנגד קניינו. </w:t>
      </w:r>
    </w:p>
    <w:p w:rsidR="003B659A" w:rsidRDefault="003B659A" w:rsidP="003B659A">
      <w:pPr>
        <w:pStyle w:val="af"/>
        <w:bidi/>
        <w:spacing w:after="0" w:line="360" w:lineRule="auto"/>
        <w:ind w:left="567"/>
        <w:jc w:val="both"/>
        <w:rPr>
          <w:rFonts w:ascii="David" w:hAnsi="David" w:cs="David"/>
          <w:noProof/>
          <w:sz w:val="24"/>
          <w:szCs w:val="24"/>
        </w:rPr>
      </w:pPr>
    </w:p>
    <w:p w:rsidR="003B659A" w:rsidRDefault="003B659A" w:rsidP="003B659A">
      <w:pPr>
        <w:pStyle w:val="af"/>
        <w:numPr>
          <w:ilvl w:val="0"/>
          <w:numId w:val="1"/>
        </w:numPr>
        <w:bidi/>
        <w:spacing w:after="0" w:line="360" w:lineRule="auto"/>
        <w:jc w:val="both"/>
        <w:rPr>
          <w:rFonts w:ascii="David" w:hAnsi="David" w:cs="David"/>
          <w:noProof/>
          <w:sz w:val="24"/>
          <w:szCs w:val="24"/>
        </w:rPr>
      </w:pPr>
      <w:r>
        <w:rPr>
          <w:rFonts w:ascii="David" w:hAnsi="David" w:cs="David"/>
          <w:noProof/>
          <w:sz w:val="24"/>
          <w:szCs w:val="24"/>
          <w:rtl/>
          <w:lang w:bidi="he-IL"/>
        </w:rPr>
        <w:t>יש לציין כי בהליך מסוג זה, מיוחס משקל גדול לכך שהבן, אשר על שמו רשומה הדירה שבמחלוקת, ואשר נתבע גם הוא בהליך זה, לא התייצב לדיונים בתיק ולא לקח חלק פעיל בהליך. שכן, כפי שנקבע בפסיקה, שתיקתו של בעל דין מהווה ראייה לחובתו:</w:t>
      </w:r>
    </w:p>
    <w:p w:rsidR="003B659A" w:rsidRDefault="003B659A" w:rsidP="003B659A">
      <w:pPr>
        <w:pStyle w:val="af"/>
        <w:bidi/>
        <w:spacing w:after="0" w:line="360" w:lineRule="auto"/>
        <w:ind w:left="1701" w:right="1701"/>
        <w:jc w:val="both"/>
        <w:rPr>
          <w:rFonts w:ascii="David" w:hAnsi="David" w:cs="David"/>
          <w:b/>
          <w:bCs/>
          <w:noProof/>
          <w:sz w:val="24"/>
          <w:szCs w:val="24"/>
          <w:rtl/>
          <w:lang w:bidi="he-IL"/>
        </w:rPr>
      </w:pPr>
      <w:r>
        <w:rPr>
          <w:rFonts w:ascii="David" w:hAnsi="David" w:cs="David"/>
          <w:b/>
          <w:bCs/>
          <w:noProof/>
          <w:sz w:val="24"/>
          <w:szCs w:val="24"/>
          <w:rtl/>
          <w:lang w:bidi="he-IL"/>
        </w:rPr>
        <w:t>"הלכה היא כי רשאי ביהמ</w:t>
      </w:r>
      <w:r>
        <w:rPr>
          <w:rFonts w:ascii="David" w:hAnsi="David" w:cs="Times New Roman"/>
          <w:b/>
          <w:bCs/>
          <w:noProof/>
          <w:sz w:val="24"/>
          <w:szCs w:val="24"/>
          <w:rtl/>
        </w:rPr>
        <w:t>"</w:t>
      </w:r>
      <w:r>
        <w:rPr>
          <w:rFonts w:ascii="David" w:hAnsi="David" w:cs="David"/>
          <w:b/>
          <w:bCs/>
          <w:noProof/>
          <w:sz w:val="24"/>
          <w:szCs w:val="24"/>
          <w:rtl/>
          <w:lang w:bidi="he-IL"/>
        </w:rPr>
        <w:t xml:space="preserve">ש להעניק לשתיקתו של בעל דין משקל ראייתי לחובתו </w:t>
      </w:r>
      <w:r>
        <w:rPr>
          <w:rFonts w:ascii="David" w:hAnsi="David" w:cs="Times New Roman"/>
          <w:b/>
          <w:bCs/>
          <w:noProof/>
          <w:sz w:val="24"/>
          <w:szCs w:val="24"/>
          <w:rtl/>
        </w:rPr>
        <w:t>(</w:t>
      </w:r>
      <w:r>
        <w:rPr>
          <w:rFonts w:ascii="David" w:hAnsi="David" w:cs="David"/>
          <w:b/>
          <w:bCs/>
          <w:noProof/>
          <w:sz w:val="24"/>
          <w:szCs w:val="24"/>
          <w:rtl/>
          <w:lang w:bidi="he-IL"/>
        </w:rPr>
        <w:t>י</w:t>
      </w:r>
      <w:r>
        <w:rPr>
          <w:rFonts w:ascii="David" w:hAnsi="David" w:cs="Times New Roman"/>
          <w:b/>
          <w:bCs/>
          <w:noProof/>
          <w:sz w:val="24"/>
          <w:szCs w:val="24"/>
          <w:rtl/>
        </w:rPr>
        <w:t xml:space="preserve">' </w:t>
      </w:r>
      <w:r>
        <w:rPr>
          <w:rFonts w:ascii="David" w:hAnsi="David" w:cs="David"/>
          <w:b/>
          <w:bCs/>
          <w:noProof/>
          <w:sz w:val="24"/>
          <w:szCs w:val="24"/>
          <w:rtl/>
          <w:lang w:bidi="he-IL"/>
        </w:rPr>
        <w:t>קדמי</w:t>
      </w:r>
      <w:r>
        <w:rPr>
          <w:rFonts w:ascii="David" w:hAnsi="David" w:cs="Times New Roman"/>
          <w:b/>
          <w:bCs/>
          <w:noProof/>
          <w:sz w:val="24"/>
          <w:szCs w:val="24"/>
          <w:rtl/>
        </w:rPr>
        <w:t xml:space="preserve">, </w:t>
      </w:r>
      <w:r>
        <w:rPr>
          <w:rFonts w:ascii="David" w:hAnsi="David" w:cs="David"/>
          <w:b/>
          <w:bCs/>
          <w:noProof/>
          <w:sz w:val="24"/>
          <w:szCs w:val="24"/>
          <w:rtl/>
          <w:lang w:bidi="he-IL"/>
        </w:rPr>
        <w:t>על הראיות מהדורה משולבת ומעודכנת</w:t>
      </w:r>
      <w:r>
        <w:rPr>
          <w:rFonts w:ascii="David" w:hAnsi="David" w:cs="Times New Roman"/>
          <w:b/>
          <w:bCs/>
          <w:noProof/>
          <w:sz w:val="24"/>
          <w:szCs w:val="24"/>
          <w:rtl/>
        </w:rPr>
        <w:t xml:space="preserve">, </w:t>
      </w:r>
      <w:r>
        <w:rPr>
          <w:rFonts w:ascii="David" w:hAnsi="David" w:cs="David"/>
          <w:b/>
          <w:bCs/>
          <w:noProof/>
          <w:sz w:val="24"/>
          <w:szCs w:val="24"/>
          <w:rtl/>
          <w:lang w:bidi="he-IL"/>
        </w:rPr>
        <w:t>תש</w:t>
      </w:r>
      <w:r>
        <w:rPr>
          <w:rFonts w:ascii="David" w:hAnsi="David" w:cs="Times New Roman"/>
          <w:b/>
          <w:bCs/>
          <w:noProof/>
          <w:sz w:val="24"/>
          <w:szCs w:val="24"/>
          <w:rtl/>
        </w:rPr>
        <w:t>"</w:t>
      </w:r>
      <w:r>
        <w:rPr>
          <w:rFonts w:ascii="David" w:hAnsi="David" w:cs="David"/>
          <w:b/>
          <w:bCs/>
          <w:noProof/>
          <w:sz w:val="24"/>
          <w:szCs w:val="24"/>
          <w:rtl/>
          <w:lang w:bidi="he-IL"/>
        </w:rPr>
        <w:t xml:space="preserve">ע </w:t>
      </w:r>
      <w:r>
        <w:rPr>
          <w:rFonts w:ascii="David" w:hAnsi="David" w:cs="Times New Roman"/>
          <w:b/>
          <w:bCs/>
          <w:noProof/>
          <w:sz w:val="24"/>
          <w:szCs w:val="24"/>
          <w:rtl/>
        </w:rPr>
        <w:t xml:space="preserve">2009 </w:t>
      </w:r>
      <w:r>
        <w:rPr>
          <w:rFonts w:ascii="David" w:hAnsi="David" w:cs="David"/>
          <w:b/>
          <w:bCs/>
          <w:noProof/>
          <w:sz w:val="24"/>
          <w:szCs w:val="24"/>
          <w:rtl/>
          <w:lang w:bidi="he-IL"/>
        </w:rPr>
        <w:t>עמ</w:t>
      </w:r>
      <w:r>
        <w:rPr>
          <w:rFonts w:ascii="David" w:hAnsi="David" w:cs="Times New Roman"/>
          <w:b/>
          <w:bCs/>
          <w:noProof/>
          <w:sz w:val="24"/>
          <w:szCs w:val="24"/>
          <w:rtl/>
        </w:rPr>
        <w:t xml:space="preserve">' 1908 </w:t>
      </w:r>
      <w:r>
        <w:rPr>
          <w:rFonts w:ascii="David" w:hAnsi="David" w:cs="David"/>
          <w:b/>
          <w:bCs/>
          <w:noProof/>
          <w:sz w:val="24"/>
          <w:szCs w:val="24"/>
          <w:rtl/>
          <w:lang w:bidi="he-IL"/>
        </w:rPr>
        <w:t>והאסמכתאות שם</w:t>
      </w:r>
      <w:r>
        <w:rPr>
          <w:rFonts w:ascii="David" w:hAnsi="David" w:cs="Times New Roman"/>
          <w:b/>
          <w:bCs/>
          <w:noProof/>
          <w:sz w:val="24"/>
          <w:szCs w:val="24"/>
          <w:rtl/>
        </w:rPr>
        <w:t xml:space="preserve">). </w:t>
      </w:r>
      <w:r>
        <w:rPr>
          <w:rFonts w:ascii="David" w:hAnsi="David" w:cs="David"/>
          <w:b/>
          <w:bCs/>
          <w:noProof/>
          <w:sz w:val="24"/>
          <w:szCs w:val="24"/>
          <w:rtl/>
          <w:lang w:bidi="he-IL"/>
        </w:rPr>
        <w:t>הדבר נכון באשר לשתיקתו או להיעדר גרסתו הן במסגרת עדותו</w:t>
      </w:r>
      <w:r>
        <w:rPr>
          <w:rFonts w:ascii="David" w:hAnsi="David" w:cs="Times New Roman"/>
          <w:b/>
          <w:bCs/>
          <w:noProof/>
          <w:sz w:val="24"/>
          <w:szCs w:val="24"/>
          <w:rtl/>
        </w:rPr>
        <w:t xml:space="preserve">, </w:t>
      </w:r>
      <w:r>
        <w:rPr>
          <w:rFonts w:ascii="David" w:hAnsi="David" w:cs="David"/>
          <w:b/>
          <w:bCs/>
          <w:noProof/>
          <w:sz w:val="24"/>
          <w:szCs w:val="24"/>
          <w:rtl/>
          <w:lang w:bidi="he-IL"/>
        </w:rPr>
        <w:t>הן במסגרת תצהירים מטעמו והן במסגרת כתבי טענות שהגיש</w:t>
      </w:r>
      <w:r>
        <w:rPr>
          <w:rFonts w:ascii="David" w:hAnsi="David" w:cs="Times New Roman"/>
          <w:b/>
          <w:bCs/>
          <w:noProof/>
          <w:sz w:val="24"/>
          <w:szCs w:val="24"/>
          <w:rtl/>
        </w:rPr>
        <w:t>.</w:t>
      </w:r>
      <w:r>
        <w:rPr>
          <w:rFonts w:ascii="David" w:hAnsi="David" w:cs="David"/>
          <w:b/>
          <w:bCs/>
          <w:noProof/>
          <w:sz w:val="24"/>
          <w:szCs w:val="24"/>
          <w:rtl/>
          <w:lang w:bidi="he-IL"/>
        </w:rPr>
        <w:t xml:space="preserve"> בצדק קבע ביהמ</w:t>
      </w:r>
      <w:r>
        <w:rPr>
          <w:rFonts w:ascii="David" w:hAnsi="David" w:cs="Times New Roman"/>
          <w:b/>
          <w:bCs/>
          <w:noProof/>
          <w:sz w:val="24"/>
          <w:szCs w:val="24"/>
          <w:rtl/>
        </w:rPr>
        <w:t>"</w:t>
      </w:r>
      <w:r>
        <w:rPr>
          <w:rFonts w:ascii="David" w:hAnsi="David" w:cs="David"/>
          <w:b/>
          <w:bCs/>
          <w:noProof/>
          <w:sz w:val="24"/>
          <w:szCs w:val="24"/>
          <w:rtl/>
          <w:lang w:bidi="he-IL"/>
        </w:rPr>
        <w:t xml:space="preserve">ש קמא כי </w:t>
      </w:r>
      <w:r>
        <w:rPr>
          <w:rFonts w:ascii="David" w:hAnsi="David" w:cs="Times New Roman"/>
          <w:b/>
          <w:bCs/>
          <w:noProof/>
          <w:sz w:val="24"/>
          <w:szCs w:val="24"/>
          <w:rtl/>
        </w:rPr>
        <w:t>"</w:t>
      </w:r>
      <w:r>
        <w:rPr>
          <w:rFonts w:ascii="David" w:hAnsi="David" w:cs="David"/>
          <w:b/>
          <w:bCs/>
          <w:noProof/>
          <w:sz w:val="24"/>
          <w:szCs w:val="24"/>
          <w:rtl/>
          <w:lang w:bidi="he-IL"/>
        </w:rPr>
        <w:t>מתקבל הרושם שחשש לחשוף עצמו לחקירה נגדית וליתן לבית המשפט הזדמנות להתרשם ממנו</w:t>
      </w:r>
      <w:r>
        <w:rPr>
          <w:rFonts w:ascii="David" w:hAnsi="David" w:cs="Times New Roman"/>
          <w:b/>
          <w:bCs/>
          <w:noProof/>
          <w:sz w:val="24"/>
          <w:szCs w:val="24"/>
          <w:rtl/>
        </w:rPr>
        <w:t xml:space="preserve">". </w:t>
      </w:r>
      <w:r>
        <w:rPr>
          <w:rFonts w:ascii="David" w:hAnsi="David" w:cs="David"/>
          <w:b/>
          <w:bCs/>
          <w:noProof/>
          <w:sz w:val="24"/>
          <w:szCs w:val="24"/>
          <w:rtl/>
          <w:lang w:bidi="he-IL"/>
        </w:rPr>
        <w:t>קביעה זו צריכה כמובן להיזקף לזכותה של המערערת ולחובתו של המשיב</w:t>
      </w:r>
      <w:r>
        <w:rPr>
          <w:rFonts w:ascii="David" w:hAnsi="David" w:cs="Times New Roman"/>
          <w:b/>
          <w:bCs/>
          <w:noProof/>
          <w:sz w:val="24"/>
          <w:szCs w:val="24"/>
          <w:rtl/>
        </w:rPr>
        <w:t xml:space="preserve">, </w:t>
      </w:r>
      <w:r>
        <w:rPr>
          <w:rFonts w:ascii="David" w:hAnsi="David" w:cs="David"/>
          <w:b/>
          <w:bCs/>
          <w:noProof/>
          <w:sz w:val="24"/>
          <w:szCs w:val="24"/>
          <w:rtl/>
          <w:lang w:bidi="he-IL"/>
        </w:rPr>
        <w:t>ולהוות חלק לא מבוטל ממילוי חובתה הראייתית ומעמידתה בנטל המוטל עליה להוכחת כוונת שיתוף ספציפי ברבע הדירה</w:t>
      </w:r>
      <w:r>
        <w:rPr>
          <w:rFonts w:ascii="David" w:hAnsi="David" w:cs="Times New Roman"/>
          <w:b/>
          <w:bCs/>
          <w:noProof/>
          <w:sz w:val="24"/>
          <w:szCs w:val="24"/>
          <w:rtl/>
        </w:rPr>
        <w:t>.</w:t>
      </w:r>
      <w:r>
        <w:rPr>
          <w:rFonts w:ascii="David" w:hAnsi="David" w:cs="David"/>
          <w:b/>
          <w:bCs/>
          <w:noProof/>
          <w:sz w:val="24"/>
          <w:szCs w:val="24"/>
          <w:rtl/>
          <w:lang w:bidi="he-IL"/>
        </w:rPr>
        <w:t>"</w:t>
      </w:r>
    </w:p>
    <w:p w:rsidR="003B659A" w:rsidRDefault="003B659A" w:rsidP="003B659A">
      <w:pPr>
        <w:spacing w:line="360" w:lineRule="auto"/>
        <w:ind w:left="567"/>
        <w:jc w:val="both"/>
        <w:rPr>
          <w:rFonts w:ascii="David" w:hAnsi="David"/>
          <w:rtl/>
        </w:rPr>
      </w:pPr>
      <w:r>
        <w:rPr>
          <w:rFonts w:ascii="David" w:hAnsi="David"/>
          <w:rtl/>
        </w:rPr>
        <w:t xml:space="preserve">ראו: עמ"ש 65410-11-21 </w:t>
      </w:r>
      <w:r>
        <w:rPr>
          <w:rFonts w:ascii="Miriam" w:hAnsi="Miriam" w:cs="Miriam"/>
          <w:rtl/>
        </w:rPr>
        <w:t>פלונית נ' אלמוני ואח'</w:t>
      </w:r>
      <w:r>
        <w:rPr>
          <w:rFonts w:ascii="David" w:hAnsi="David"/>
          <w:rtl/>
        </w:rPr>
        <w:t>, פסקה 6 לפסק דינו של כב' השופט שילה (21.11.2022).</w:t>
      </w:r>
    </w:p>
    <w:p w:rsidR="003B659A" w:rsidRDefault="003B659A" w:rsidP="003B659A">
      <w:pPr>
        <w:pStyle w:val="af"/>
        <w:bidi/>
        <w:spacing w:after="0" w:line="360" w:lineRule="auto"/>
        <w:ind w:left="567"/>
        <w:jc w:val="both"/>
        <w:rPr>
          <w:rFonts w:ascii="David" w:hAnsi="David" w:cs="David"/>
          <w:noProof/>
          <w:sz w:val="24"/>
          <w:szCs w:val="24"/>
        </w:rPr>
      </w:pPr>
    </w:p>
    <w:p w:rsidR="003B659A" w:rsidRDefault="003B659A" w:rsidP="003B659A">
      <w:pPr>
        <w:pStyle w:val="af"/>
        <w:numPr>
          <w:ilvl w:val="0"/>
          <w:numId w:val="1"/>
        </w:numPr>
        <w:bidi/>
        <w:spacing w:after="0" w:line="360" w:lineRule="auto"/>
        <w:jc w:val="both"/>
        <w:rPr>
          <w:rFonts w:ascii="David" w:hAnsi="David" w:cs="David"/>
          <w:noProof/>
          <w:sz w:val="24"/>
          <w:szCs w:val="24"/>
          <w:lang w:bidi="he-IL"/>
        </w:rPr>
      </w:pPr>
      <w:r>
        <w:rPr>
          <w:rFonts w:ascii="David" w:hAnsi="David" w:cs="David"/>
          <w:noProof/>
          <w:sz w:val="24"/>
          <w:szCs w:val="24"/>
          <w:rtl/>
          <w:lang w:bidi="he-IL"/>
        </w:rPr>
        <w:t xml:space="preserve">אין כל התייחסות בסיכומיה של האם להעדרו המהותי של הבן מההליך. </w:t>
      </w:r>
    </w:p>
    <w:p w:rsidR="003B659A" w:rsidRDefault="003B659A" w:rsidP="003B659A">
      <w:pPr>
        <w:pStyle w:val="af"/>
        <w:bidi/>
        <w:spacing w:after="0" w:line="360" w:lineRule="auto"/>
        <w:ind w:left="567"/>
        <w:jc w:val="both"/>
        <w:rPr>
          <w:rFonts w:ascii="David" w:hAnsi="David" w:cs="David"/>
          <w:noProof/>
          <w:sz w:val="24"/>
          <w:szCs w:val="24"/>
          <w:rtl/>
          <w:lang w:bidi="he-IL"/>
        </w:rPr>
      </w:pPr>
    </w:p>
    <w:p w:rsidR="001014B1" w:rsidRDefault="001014B1" w:rsidP="003B659A">
      <w:pPr>
        <w:pStyle w:val="af"/>
        <w:bidi/>
        <w:spacing w:after="0" w:line="360" w:lineRule="auto"/>
        <w:ind w:left="567"/>
        <w:jc w:val="both"/>
        <w:rPr>
          <w:rFonts w:ascii="David" w:hAnsi="David" w:cs="David"/>
          <w:noProof/>
          <w:sz w:val="24"/>
          <w:szCs w:val="24"/>
          <w:rtl/>
          <w:lang w:bidi="he-IL"/>
        </w:rPr>
      </w:pPr>
    </w:p>
    <w:p w:rsidR="001014B1" w:rsidRDefault="001014B1" w:rsidP="003B659A">
      <w:pPr>
        <w:pStyle w:val="af"/>
        <w:bidi/>
        <w:spacing w:after="0" w:line="360" w:lineRule="auto"/>
        <w:ind w:left="567"/>
        <w:jc w:val="both"/>
        <w:rPr>
          <w:rFonts w:ascii="David" w:hAnsi="David" w:cs="David"/>
          <w:noProof/>
          <w:sz w:val="24"/>
          <w:szCs w:val="24"/>
          <w:lang w:bidi="he-IL"/>
        </w:rPr>
      </w:pPr>
    </w:p>
    <w:p w:rsidR="003B659A" w:rsidRDefault="003B659A" w:rsidP="003B659A">
      <w:pPr>
        <w:pStyle w:val="af"/>
        <w:numPr>
          <w:ilvl w:val="0"/>
          <w:numId w:val="1"/>
        </w:numPr>
        <w:bidi/>
        <w:spacing w:after="0" w:line="360" w:lineRule="auto"/>
        <w:jc w:val="both"/>
        <w:rPr>
          <w:rFonts w:ascii="David" w:hAnsi="David" w:cs="David"/>
          <w:noProof/>
          <w:sz w:val="24"/>
          <w:szCs w:val="24"/>
        </w:rPr>
      </w:pPr>
      <w:r>
        <w:rPr>
          <w:rFonts w:ascii="David" w:hAnsi="David" w:cs="David"/>
          <w:noProof/>
          <w:sz w:val="24"/>
          <w:szCs w:val="24"/>
          <w:u w:val="single"/>
          <w:rtl/>
          <w:lang w:bidi="he-IL"/>
        </w:rPr>
        <w:lastRenderedPageBreak/>
        <w:t>סיכום</w:t>
      </w:r>
      <w:r>
        <w:rPr>
          <w:rFonts w:ascii="David" w:hAnsi="David" w:cs="David"/>
          <w:noProof/>
          <w:sz w:val="24"/>
          <w:szCs w:val="24"/>
          <w:rtl/>
          <w:lang w:bidi="he-IL"/>
        </w:rPr>
        <w:t xml:space="preserve"> – הוכח כי הדירה נרכשה מכספי הצדדים, האחזקה בדירה והתשלומים עליה בוצעו על ידי הצדדים, השכירות של חלק מהדירה עבר לצדדים, ומי שהחזיק בחלקה הייתה האישה עבור עבודתה. הדירה נרשמה על שם הבן. אולם נרשמה הערת אזהרה להימנעות מעשיית עסקה על ידי האישה ולטובתה. מעבר לכך הבן לא נטל חלק מהותי בהליך ולא הגיש תצהיר עדות ראשית ולא הגן על עמדתו בכתב ההגנה. לכך יש להוסיף כי בהליך הקשור הצהירה האישה כי הדירה היא משותפת. ההתרשמות הישירה מעדויות הצדדים הינה כי הדירה משותפת וכזו הייתה ההתיחסות אליה. על כן מכלול הנסיבות והראיות והצטברותן שיכנעוני כי התביעה הוכחה.</w:t>
      </w:r>
    </w:p>
    <w:p w:rsidR="003B659A" w:rsidRDefault="003B659A" w:rsidP="003B659A">
      <w:pPr>
        <w:pStyle w:val="af"/>
        <w:rPr>
          <w:rFonts w:ascii="David" w:hAnsi="David" w:cs="David"/>
          <w:b/>
          <w:bCs/>
          <w:noProof/>
          <w:sz w:val="24"/>
          <w:szCs w:val="24"/>
        </w:rPr>
      </w:pPr>
    </w:p>
    <w:p w:rsidR="003B659A" w:rsidRDefault="003B659A" w:rsidP="003B659A">
      <w:pPr>
        <w:pStyle w:val="af"/>
        <w:numPr>
          <w:ilvl w:val="0"/>
          <w:numId w:val="1"/>
        </w:numPr>
        <w:bidi/>
        <w:spacing w:after="0" w:line="360" w:lineRule="auto"/>
        <w:jc w:val="both"/>
        <w:rPr>
          <w:rFonts w:ascii="David" w:hAnsi="David" w:cs="David"/>
          <w:noProof/>
          <w:sz w:val="24"/>
          <w:szCs w:val="24"/>
        </w:rPr>
      </w:pPr>
      <w:r>
        <w:rPr>
          <w:rFonts w:ascii="David" w:hAnsi="David" w:cs="David"/>
          <w:noProof/>
          <w:sz w:val="24"/>
          <w:szCs w:val="24"/>
          <w:rtl/>
          <w:lang w:bidi="he-IL"/>
        </w:rPr>
        <w:t>אשר על כן התביעה מתקבלת.</w:t>
      </w:r>
    </w:p>
    <w:p w:rsidR="003B659A" w:rsidRDefault="003B659A" w:rsidP="003B659A">
      <w:pPr>
        <w:pStyle w:val="af"/>
        <w:rPr>
          <w:rFonts w:ascii="David" w:hAnsi="David" w:cs="David"/>
          <w:b/>
          <w:bCs/>
          <w:noProof/>
          <w:sz w:val="24"/>
          <w:szCs w:val="24"/>
        </w:rPr>
      </w:pPr>
    </w:p>
    <w:p w:rsidR="003B659A" w:rsidRDefault="003B659A" w:rsidP="00FE0A12">
      <w:pPr>
        <w:pStyle w:val="af"/>
        <w:numPr>
          <w:ilvl w:val="0"/>
          <w:numId w:val="1"/>
        </w:numPr>
        <w:bidi/>
        <w:spacing w:after="0" w:line="360" w:lineRule="auto"/>
        <w:jc w:val="both"/>
        <w:rPr>
          <w:rFonts w:ascii="David" w:hAnsi="David" w:cs="David"/>
          <w:b/>
          <w:bCs/>
          <w:noProof/>
          <w:sz w:val="24"/>
          <w:szCs w:val="24"/>
        </w:rPr>
      </w:pPr>
      <w:r w:rsidRPr="001014B1">
        <w:rPr>
          <w:rFonts w:ascii="David" w:hAnsi="David" w:cs="David"/>
          <w:b/>
          <w:bCs/>
          <w:noProof/>
          <w:sz w:val="24"/>
          <w:szCs w:val="24"/>
          <w:rtl/>
          <w:lang w:bidi="he-IL"/>
        </w:rPr>
        <w:t xml:space="preserve">בהתאם לכך אני מורה כי </w:t>
      </w:r>
      <w:r w:rsidRPr="001014B1">
        <w:rPr>
          <w:rFonts w:ascii="David" w:hAnsi="David" w:cs="David"/>
          <w:b/>
          <w:bCs/>
          <w:sz w:val="24"/>
          <w:szCs w:val="24"/>
          <w:rtl/>
          <w:lang w:bidi="he-IL"/>
        </w:rPr>
        <w:t>התובע הוא בעל מחצית הזכויות בדירה ברח' ב, הידו</w:t>
      </w:r>
      <w:r w:rsidR="001014B1">
        <w:rPr>
          <w:rFonts w:ascii="David" w:hAnsi="David" w:cs="David"/>
          <w:b/>
          <w:bCs/>
          <w:sz w:val="24"/>
          <w:szCs w:val="24"/>
          <w:rtl/>
          <w:lang w:bidi="he-IL"/>
        </w:rPr>
        <w:t>עה כגוש  חלקה  תת חלקה</w:t>
      </w:r>
      <w:r w:rsidR="00FE0A12">
        <w:rPr>
          <w:rFonts w:ascii="David" w:hAnsi="David" w:cs="David" w:hint="cs"/>
          <w:b/>
          <w:bCs/>
          <w:sz w:val="24"/>
          <w:szCs w:val="24"/>
          <w:rtl/>
          <w:lang w:bidi="he-IL"/>
        </w:rPr>
        <w:t xml:space="preserve"> </w:t>
      </w:r>
      <w:r w:rsidR="001014B1">
        <w:rPr>
          <w:rFonts w:ascii="David" w:hAnsi="David" w:cs="David" w:hint="cs"/>
          <w:b/>
          <w:bCs/>
          <w:sz w:val="24"/>
          <w:szCs w:val="24"/>
          <w:rtl/>
          <w:lang w:bidi="he-IL"/>
        </w:rPr>
        <w:t>.</w:t>
      </w:r>
    </w:p>
    <w:p w:rsidR="001014B1" w:rsidRPr="001014B1" w:rsidRDefault="001014B1" w:rsidP="001014B1">
      <w:pPr>
        <w:pStyle w:val="af"/>
        <w:rPr>
          <w:rFonts w:ascii="David" w:hAnsi="David" w:cs="David"/>
          <w:b/>
          <w:bCs/>
          <w:noProof/>
          <w:sz w:val="24"/>
          <w:szCs w:val="24"/>
          <w:rtl/>
        </w:rPr>
      </w:pPr>
    </w:p>
    <w:p w:rsidR="003B659A" w:rsidRDefault="003B659A" w:rsidP="003B659A">
      <w:pPr>
        <w:pStyle w:val="af"/>
        <w:numPr>
          <w:ilvl w:val="0"/>
          <w:numId w:val="1"/>
        </w:numPr>
        <w:bidi/>
        <w:spacing w:after="0" w:line="360" w:lineRule="auto"/>
        <w:jc w:val="both"/>
        <w:rPr>
          <w:rFonts w:ascii="David" w:hAnsi="David" w:cs="David"/>
          <w:noProof/>
          <w:sz w:val="24"/>
          <w:szCs w:val="24"/>
          <w:rtl/>
        </w:rPr>
      </w:pPr>
      <w:r>
        <w:rPr>
          <w:rFonts w:ascii="David" w:hAnsi="David" w:cs="David"/>
          <w:noProof/>
          <w:sz w:val="24"/>
          <w:szCs w:val="24"/>
          <w:u w:val="single"/>
          <w:rtl/>
          <w:lang w:bidi="he-IL"/>
        </w:rPr>
        <w:t>הוצאות ההליך –</w:t>
      </w:r>
      <w:r>
        <w:rPr>
          <w:rFonts w:ascii="David" w:hAnsi="David" w:cs="David"/>
          <w:noProof/>
          <w:sz w:val="24"/>
          <w:szCs w:val="24"/>
          <w:rtl/>
          <w:lang w:bidi="he-IL"/>
        </w:rPr>
        <w:t xml:space="preserve"> האישה תשא בהוצאות האיש בהליך זה בסך של 5,000 ₪ אשר ישולמו בתוך 30 יום, ולא – יישאו הפרשי ריבית והצמדה כדיןץ </w:t>
      </w:r>
    </w:p>
    <w:p w:rsidR="003B659A" w:rsidRDefault="003B659A" w:rsidP="003B659A">
      <w:pPr>
        <w:pStyle w:val="af"/>
        <w:rPr>
          <w:rFonts w:ascii="David" w:hAnsi="David" w:cs="David"/>
          <w:b/>
          <w:bCs/>
          <w:noProof/>
          <w:sz w:val="24"/>
          <w:szCs w:val="24"/>
        </w:rPr>
      </w:pPr>
    </w:p>
    <w:p w:rsidR="003B659A" w:rsidRDefault="003B659A" w:rsidP="003B659A">
      <w:pPr>
        <w:pStyle w:val="af"/>
        <w:numPr>
          <w:ilvl w:val="0"/>
          <w:numId w:val="1"/>
        </w:numPr>
        <w:bidi/>
        <w:spacing w:after="0" w:line="360" w:lineRule="auto"/>
        <w:jc w:val="both"/>
        <w:rPr>
          <w:rFonts w:ascii="David" w:hAnsi="David" w:cs="David"/>
          <w:noProof/>
          <w:sz w:val="24"/>
          <w:szCs w:val="24"/>
          <w:rtl/>
        </w:rPr>
      </w:pPr>
      <w:r>
        <w:rPr>
          <w:rFonts w:ascii="David" w:hAnsi="David" w:cs="David"/>
          <w:b/>
          <w:bCs/>
          <w:noProof/>
          <w:sz w:val="24"/>
          <w:szCs w:val="24"/>
          <w:u w:val="single"/>
          <w:rtl/>
          <w:lang w:bidi="he-IL"/>
        </w:rPr>
        <w:t>המזכירות</w:t>
      </w:r>
      <w:r>
        <w:rPr>
          <w:rFonts w:ascii="David" w:hAnsi="David" w:cs="David"/>
          <w:noProof/>
          <w:sz w:val="24"/>
          <w:szCs w:val="24"/>
          <w:rtl/>
          <w:lang w:bidi="he-IL"/>
        </w:rPr>
        <w:t xml:space="preserve"> תסגור את תמ"ש </w:t>
      </w:r>
      <w:r>
        <w:rPr>
          <w:rFonts w:ascii="David" w:hAnsi="David" w:cs="David"/>
          <w:sz w:val="24"/>
          <w:szCs w:val="24"/>
          <w:rtl/>
          <w:lang w:bidi="he-IL"/>
        </w:rPr>
        <w:t>49718-03-21</w:t>
      </w:r>
      <w:r>
        <w:rPr>
          <w:rFonts w:ascii="David" w:hAnsi="David" w:cs="David"/>
          <w:noProof/>
          <w:sz w:val="24"/>
          <w:szCs w:val="24"/>
          <w:rtl/>
          <w:lang w:bidi="he-IL"/>
        </w:rPr>
        <w:t>.</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י"ט כסלו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13 דצמבר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E1B54">
      <w:pPr>
        <w:spacing w:line="360" w:lineRule="auto"/>
        <w:ind w:left="3600" w:firstLine="720"/>
        <w:jc w:val="both"/>
      </w:pPr>
      <w:sdt>
        <w:sdtPr>
          <w:rPr>
            <w:rtl/>
          </w:rPr>
          <w:alias w:val="MergeField"/>
          <w:tag w:val="1237"/>
          <w:id w:val="699048083"/>
        </w:sdtPr>
        <w:sdtEndPr/>
        <w:sdtContent>
          <w:r w:rsidR="00FE0A12">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3444A6">
      <w:pPr>
        <w:spacing w:line="360" w:lineRule="auto"/>
        <w:jc w:val="both"/>
        <w:rPr>
          <w:rFonts w:ascii="Arial" w:hAnsi="Arial"/>
          <w:noProof w:val="0"/>
          <w:rtl/>
        </w:rPr>
      </w:pPr>
      <w:r>
        <w:rPr>
          <w:rFonts w:ascii="Arial" w:hAnsi="Arial" w:hint="cs"/>
          <w:noProof w:val="0"/>
          <w:rtl/>
        </w:rPr>
        <w:t>החלטה על פרסום פסק הדין ללא פרטים מזהים ניתנה ביום 4.9.23.</w:t>
      </w: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B54" w:rsidRDefault="008E1B54">
      <w:r>
        <w:separator/>
      </w:r>
    </w:p>
  </w:endnote>
  <w:endnote w:type="continuationSeparator" w:id="0">
    <w:p w:rsidR="008E1B54" w:rsidRDefault="008E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87DB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87DBB">
      <w:rPr>
        <w:rStyle w:val="ab"/>
        <w:rtl/>
      </w:rPr>
      <w:t>19</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B54" w:rsidRDefault="008E1B54">
      <w:r>
        <w:separator/>
      </w:r>
    </w:p>
  </w:footnote>
  <w:footnote w:type="continuationSeparator" w:id="0">
    <w:p w:rsidR="008E1B54" w:rsidRDefault="008E1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8E1B54" w:rsidP="00FE0A12">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b/>
                <w:bCs/>
                <w:sz w:val="26"/>
                <w:szCs w:val="26"/>
                <w:rtl/>
              </w:rPr>
              <w:alias w:val="1171"/>
              <w:tag w:val="1171"/>
              <w:id w:val="1025217868"/>
              <w:text w:multiLine="1"/>
            </w:sdtPr>
            <w:sdtEndPr/>
            <w:sdtContent>
              <w:r w:rsidR="00BD18F5" w:rsidRPr="003B659A">
                <w:rPr>
                  <w:b/>
                  <w:bCs/>
                  <w:noProof w:val="0"/>
                  <w:sz w:val="26"/>
                  <w:szCs w:val="26"/>
                  <w:rtl/>
                </w:rPr>
                <w:t>70455-11-20</w:t>
              </w:r>
            </w:sdtContent>
          </w:sdt>
          <w:r w:rsidR="00011212" w:rsidRPr="003B659A">
            <w:rPr>
              <w:b/>
              <w:bCs/>
              <w:noProof w:val="0"/>
              <w:sz w:val="26"/>
              <w:szCs w:val="26"/>
              <w:rtl/>
            </w:rPr>
            <w:t xml:space="preserve"> </w:t>
          </w:r>
          <w:sdt>
            <w:sdtPr>
              <w:rPr>
                <w:b/>
                <w:bCs/>
                <w:sz w:val="26"/>
                <w:szCs w:val="26"/>
                <w:rtl/>
              </w:rPr>
              <w:alias w:val="1172"/>
              <w:tag w:val="1172"/>
              <w:id w:val="-673653942"/>
              <w:text w:multiLine="1"/>
            </w:sdtPr>
            <w:sdtEndPr/>
            <w:sdtContent>
              <w:r w:rsidR="00FE0A12">
                <w:rPr>
                  <w:rFonts w:hint="cs"/>
                  <w:b/>
                  <w:bCs/>
                  <w:sz w:val="26"/>
                  <w:szCs w:val="26"/>
                  <w:rtl/>
                </w:rPr>
                <w:t>פלוני</w:t>
              </w:r>
              <w:r w:rsidR="00FE0A12" w:rsidRPr="003B659A">
                <w:rPr>
                  <w:b/>
                  <w:bCs/>
                  <w:sz w:val="26"/>
                  <w:szCs w:val="26"/>
                  <w:rtl/>
                </w:rPr>
                <w:t xml:space="preserve"> נ' </w:t>
              </w:r>
              <w:r w:rsidR="00FE0A12">
                <w:rPr>
                  <w:rFonts w:hint="cs"/>
                  <w:b/>
                  <w:bCs/>
                  <w:sz w:val="26"/>
                  <w:szCs w:val="26"/>
                  <w:rtl/>
                </w:rPr>
                <w:t>אלמונית</w:t>
              </w:r>
              <w:r w:rsidR="00FE0A12" w:rsidRPr="003B659A">
                <w:rPr>
                  <w:b/>
                  <w:bCs/>
                  <w:sz w:val="26"/>
                  <w:szCs w:val="26"/>
                  <w:rtl/>
                </w:rPr>
                <w:br/>
                <w:t xml:space="preserve">תמ"ש </w:t>
              </w:r>
              <w:r w:rsidR="00FE0A12" w:rsidRPr="003B659A">
                <w:rPr>
                  <w:rFonts w:hint="cs"/>
                  <w:b/>
                  <w:bCs/>
                  <w:sz w:val="26"/>
                  <w:szCs w:val="26"/>
                  <w:rtl/>
                </w:rPr>
                <w:t>49718</w:t>
              </w:r>
              <w:r w:rsidR="00FE0A12" w:rsidRPr="003B659A">
                <w:rPr>
                  <w:b/>
                  <w:bCs/>
                  <w:sz w:val="26"/>
                  <w:szCs w:val="26"/>
                  <w:rtl/>
                </w:rPr>
                <w:t>-</w:t>
              </w:r>
              <w:r w:rsidR="00FE0A12" w:rsidRPr="003B659A">
                <w:rPr>
                  <w:rFonts w:hint="cs"/>
                  <w:b/>
                  <w:bCs/>
                  <w:sz w:val="26"/>
                  <w:szCs w:val="26"/>
                  <w:rtl/>
                </w:rPr>
                <w:t>03</w:t>
              </w:r>
              <w:r w:rsidR="00FE0A12" w:rsidRPr="003B659A">
                <w:rPr>
                  <w:b/>
                  <w:bCs/>
                  <w:sz w:val="26"/>
                  <w:szCs w:val="26"/>
                  <w:rtl/>
                </w:rPr>
                <w:t>-</w:t>
              </w:r>
              <w:r w:rsidR="00FE0A12" w:rsidRPr="003B659A">
                <w:rPr>
                  <w:rFonts w:hint="cs"/>
                  <w:b/>
                  <w:bCs/>
                  <w:sz w:val="26"/>
                  <w:szCs w:val="26"/>
                  <w:rtl/>
                </w:rPr>
                <w:t>21</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2020B2"/>
    <w:multiLevelType w:val="hybridMultilevel"/>
    <w:tmpl w:val="1F16DCD8"/>
    <w:lvl w:ilvl="0" w:tplc="EFF63D7E">
      <w:start w:val="3"/>
      <w:numFmt w:val="bullet"/>
      <w:lvlText w:val="-"/>
      <w:lvlJc w:val="left"/>
      <w:pPr>
        <w:ind w:left="1080" w:hanging="360"/>
      </w:pPr>
      <w:rPr>
        <w:rFonts w:ascii="David" w:eastAsiaTheme="minorHAnsi" w:hAnsi="David" w:cs="David" w:hint="default"/>
      </w:rPr>
    </w:lvl>
    <w:lvl w:ilvl="1" w:tplc="6A32920C">
      <w:start w:val="1"/>
      <w:numFmt w:val="bullet"/>
      <w:lvlText w:val="o"/>
      <w:lvlJc w:val="left"/>
      <w:pPr>
        <w:ind w:left="1800" w:hanging="360"/>
      </w:pPr>
      <w:rPr>
        <w:rFonts w:ascii="Courier New" w:hAnsi="Courier New" w:cs="Courier New" w:hint="default"/>
      </w:rPr>
    </w:lvl>
    <w:lvl w:ilvl="2" w:tplc="6D0A7AA2">
      <w:start w:val="1"/>
      <w:numFmt w:val="bullet"/>
      <w:lvlText w:val=""/>
      <w:lvlJc w:val="left"/>
      <w:pPr>
        <w:ind w:left="2520" w:hanging="360"/>
      </w:pPr>
      <w:rPr>
        <w:rFonts w:ascii="Wingdings" w:hAnsi="Wingdings" w:hint="default"/>
      </w:rPr>
    </w:lvl>
    <w:lvl w:ilvl="3" w:tplc="24F88266">
      <w:start w:val="1"/>
      <w:numFmt w:val="bullet"/>
      <w:lvlText w:val=""/>
      <w:lvlJc w:val="left"/>
      <w:pPr>
        <w:ind w:left="3240" w:hanging="360"/>
      </w:pPr>
      <w:rPr>
        <w:rFonts w:ascii="Symbol" w:hAnsi="Symbol" w:hint="default"/>
      </w:rPr>
    </w:lvl>
    <w:lvl w:ilvl="4" w:tplc="0C626888">
      <w:start w:val="1"/>
      <w:numFmt w:val="bullet"/>
      <w:lvlText w:val="o"/>
      <w:lvlJc w:val="left"/>
      <w:pPr>
        <w:ind w:left="3960" w:hanging="360"/>
      </w:pPr>
      <w:rPr>
        <w:rFonts w:ascii="Courier New" w:hAnsi="Courier New" w:cs="Courier New" w:hint="default"/>
      </w:rPr>
    </w:lvl>
    <w:lvl w:ilvl="5" w:tplc="82E4E744">
      <w:start w:val="1"/>
      <w:numFmt w:val="bullet"/>
      <w:lvlText w:val=""/>
      <w:lvlJc w:val="left"/>
      <w:pPr>
        <w:ind w:left="4680" w:hanging="360"/>
      </w:pPr>
      <w:rPr>
        <w:rFonts w:ascii="Wingdings" w:hAnsi="Wingdings" w:hint="default"/>
      </w:rPr>
    </w:lvl>
    <w:lvl w:ilvl="6" w:tplc="BA587966">
      <w:start w:val="1"/>
      <w:numFmt w:val="bullet"/>
      <w:lvlText w:val=""/>
      <w:lvlJc w:val="left"/>
      <w:pPr>
        <w:ind w:left="5400" w:hanging="360"/>
      </w:pPr>
      <w:rPr>
        <w:rFonts w:ascii="Symbol" w:hAnsi="Symbol" w:hint="default"/>
      </w:rPr>
    </w:lvl>
    <w:lvl w:ilvl="7" w:tplc="E05A9D10">
      <w:start w:val="1"/>
      <w:numFmt w:val="bullet"/>
      <w:lvlText w:val="o"/>
      <w:lvlJc w:val="left"/>
      <w:pPr>
        <w:ind w:left="6120" w:hanging="360"/>
      </w:pPr>
      <w:rPr>
        <w:rFonts w:ascii="Courier New" w:hAnsi="Courier New" w:cs="Courier New" w:hint="default"/>
      </w:rPr>
    </w:lvl>
    <w:lvl w:ilvl="8" w:tplc="1D3AA90E">
      <w:start w:val="1"/>
      <w:numFmt w:val="bullet"/>
      <w:lvlText w:val=""/>
      <w:lvlJc w:val="left"/>
      <w:pPr>
        <w:ind w:left="6840" w:hanging="360"/>
      </w:pPr>
      <w:rPr>
        <w:rFonts w:ascii="Wingdings" w:hAnsi="Wingdings" w:hint="default"/>
      </w:rPr>
    </w:lvl>
  </w:abstractNum>
  <w:abstractNum w:abstractNumId="1" w15:restartNumberingAfterBreak="0">
    <w:nsid w:val="708C727F"/>
    <w:multiLevelType w:val="hybridMultilevel"/>
    <w:tmpl w:val="92B818B8"/>
    <w:lvl w:ilvl="0" w:tplc="93D85784">
      <w:start w:val="1"/>
      <w:numFmt w:val="decimal"/>
      <w:lvlText w:val="%1."/>
      <w:lvlJc w:val="left"/>
      <w:pPr>
        <w:ind w:left="567" w:hanging="567"/>
      </w:pPr>
      <w:rPr>
        <w:rFonts w:ascii="David" w:hAnsi="David" w:cs="David" w:hint="default"/>
        <w:b w:val="0"/>
        <w:bCs w:val="0"/>
        <w:sz w:val="24"/>
        <w:szCs w:val="24"/>
      </w:rPr>
    </w:lvl>
    <w:lvl w:ilvl="1" w:tplc="0FF2FA30">
      <w:start w:val="1"/>
      <w:numFmt w:val="lowerLetter"/>
      <w:lvlText w:val="%2."/>
      <w:lvlJc w:val="left"/>
      <w:pPr>
        <w:ind w:left="1440" w:hanging="360"/>
      </w:pPr>
    </w:lvl>
    <w:lvl w:ilvl="2" w:tplc="CF8EFA54">
      <w:start w:val="1"/>
      <w:numFmt w:val="lowerRoman"/>
      <w:lvlText w:val="%3."/>
      <w:lvlJc w:val="right"/>
      <w:pPr>
        <w:ind w:left="2160" w:hanging="180"/>
      </w:pPr>
    </w:lvl>
    <w:lvl w:ilvl="3" w:tplc="265626DC">
      <w:start w:val="1"/>
      <w:numFmt w:val="decimal"/>
      <w:lvlText w:val="%4."/>
      <w:lvlJc w:val="left"/>
      <w:pPr>
        <w:ind w:left="2880" w:hanging="360"/>
      </w:pPr>
    </w:lvl>
    <w:lvl w:ilvl="4" w:tplc="147E9324">
      <w:start w:val="1"/>
      <w:numFmt w:val="lowerLetter"/>
      <w:lvlText w:val="%5."/>
      <w:lvlJc w:val="left"/>
      <w:pPr>
        <w:ind w:left="3600" w:hanging="360"/>
      </w:pPr>
    </w:lvl>
    <w:lvl w:ilvl="5" w:tplc="5C7EB4FE">
      <w:start w:val="1"/>
      <w:numFmt w:val="lowerRoman"/>
      <w:lvlText w:val="%6."/>
      <w:lvlJc w:val="right"/>
      <w:pPr>
        <w:ind w:left="4320" w:hanging="180"/>
      </w:pPr>
    </w:lvl>
    <w:lvl w:ilvl="6" w:tplc="14043288">
      <w:start w:val="1"/>
      <w:numFmt w:val="decimal"/>
      <w:lvlText w:val="%7."/>
      <w:lvlJc w:val="left"/>
      <w:pPr>
        <w:ind w:left="5040" w:hanging="360"/>
      </w:pPr>
    </w:lvl>
    <w:lvl w:ilvl="7" w:tplc="18606ADA">
      <w:start w:val="1"/>
      <w:numFmt w:val="lowerLetter"/>
      <w:lvlText w:val="%8."/>
      <w:lvlJc w:val="left"/>
      <w:pPr>
        <w:ind w:left="5760" w:hanging="360"/>
      </w:pPr>
    </w:lvl>
    <w:lvl w:ilvl="8" w:tplc="8E8C1EAE">
      <w:start w:val="1"/>
      <w:numFmt w:val="lowerRoman"/>
      <w:lvlText w:val="%9."/>
      <w:lvlJc w:val="right"/>
      <w:pPr>
        <w:ind w:left="6480" w:hanging="180"/>
      </w:pPr>
    </w:lvl>
  </w:abstractNum>
  <w:abstractNum w:abstractNumId="2" w15:restartNumberingAfterBreak="0">
    <w:nsid w:val="7FE36B3F"/>
    <w:multiLevelType w:val="hybridMultilevel"/>
    <w:tmpl w:val="BE7632C8"/>
    <w:lvl w:ilvl="0" w:tplc="ADAAC72C">
      <w:start w:val="1"/>
      <w:numFmt w:val="hebrew1"/>
      <w:lvlText w:val="%1."/>
      <w:lvlJc w:val="left"/>
      <w:pPr>
        <w:ind w:left="927" w:hanging="360"/>
      </w:pPr>
    </w:lvl>
    <w:lvl w:ilvl="1" w:tplc="8CBCAF5E">
      <w:start w:val="1"/>
      <w:numFmt w:val="lowerLetter"/>
      <w:lvlText w:val="%2."/>
      <w:lvlJc w:val="left"/>
      <w:pPr>
        <w:ind w:left="1647" w:hanging="360"/>
      </w:pPr>
    </w:lvl>
    <w:lvl w:ilvl="2" w:tplc="1BB2BA44">
      <w:start w:val="1"/>
      <w:numFmt w:val="lowerRoman"/>
      <w:lvlText w:val="%3."/>
      <w:lvlJc w:val="right"/>
      <w:pPr>
        <w:ind w:left="2367" w:hanging="180"/>
      </w:pPr>
    </w:lvl>
    <w:lvl w:ilvl="3" w:tplc="33F0F94E">
      <w:start w:val="1"/>
      <w:numFmt w:val="decimal"/>
      <w:lvlText w:val="%4."/>
      <w:lvlJc w:val="left"/>
      <w:pPr>
        <w:ind w:left="3087" w:hanging="360"/>
      </w:pPr>
    </w:lvl>
    <w:lvl w:ilvl="4" w:tplc="B1DE38FA">
      <w:start w:val="1"/>
      <w:numFmt w:val="lowerLetter"/>
      <w:lvlText w:val="%5."/>
      <w:lvlJc w:val="left"/>
      <w:pPr>
        <w:ind w:left="3807" w:hanging="360"/>
      </w:pPr>
    </w:lvl>
    <w:lvl w:ilvl="5" w:tplc="1874690C">
      <w:start w:val="1"/>
      <w:numFmt w:val="lowerRoman"/>
      <w:lvlText w:val="%6."/>
      <w:lvlJc w:val="right"/>
      <w:pPr>
        <w:ind w:left="4527" w:hanging="180"/>
      </w:pPr>
    </w:lvl>
    <w:lvl w:ilvl="6" w:tplc="5C82745A">
      <w:start w:val="1"/>
      <w:numFmt w:val="decimal"/>
      <w:lvlText w:val="%7."/>
      <w:lvlJc w:val="left"/>
      <w:pPr>
        <w:ind w:left="5247" w:hanging="360"/>
      </w:pPr>
    </w:lvl>
    <w:lvl w:ilvl="7" w:tplc="FED6F56C">
      <w:start w:val="1"/>
      <w:numFmt w:val="lowerLetter"/>
      <w:lvlText w:val="%8."/>
      <w:lvlJc w:val="left"/>
      <w:pPr>
        <w:ind w:left="5967" w:hanging="360"/>
      </w:pPr>
    </w:lvl>
    <w:lvl w:ilvl="8" w:tplc="E758D4A4">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014B1"/>
    <w:rsid w:val="001F6E6B"/>
    <w:rsid w:val="00265648"/>
    <w:rsid w:val="002914D6"/>
    <w:rsid w:val="002F5307"/>
    <w:rsid w:val="003444A6"/>
    <w:rsid w:val="00350130"/>
    <w:rsid w:val="003B659A"/>
    <w:rsid w:val="003C76EE"/>
    <w:rsid w:val="00467FC8"/>
    <w:rsid w:val="004D5B02"/>
    <w:rsid w:val="005438C7"/>
    <w:rsid w:val="00666802"/>
    <w:rsid w:val="006C4051"/>
    <w:rsid w:val="007C1077"/>
    <w:rsid w:val="007C6BD7"/>
    <w:rsid w:val="0080473A"/>
    <w:rsid w:val="00822AA5"/>
    <w:rsid w:val="00852F6E"/>
    <w:rsid w:val="008A5941"/>
    <w:rsid w:val="008E1B54"/>
    <w:rsid w:val="0091072C"/>
    <w:rsid w:val="009108D7"/>
    <w:rsid w:val="009850F9"/>
    <w:rsid w:val="00B540A6"/>
    <w:rsid w:val="00B87DBB"/>
    <w:rsid w:val="00BD18F5"/>
    <w:rsid w:val="00BD5B6B"/>
    <w:rsid w:val="00C40239"/>
    <w:rsid w:val="00C931BD"/>
    <w:rsid w:val="00D358FE"/>
    <w:rsid w:val="00D54B3A"/>
    <w:rsid w:val="00E9298F"/>
    <w:rsid w:val="00F14D66"/>
    <w:rsid w:val="00F50E07"/>
    <w:rsid w:val="00F706EB"/>
    <w:rsid w:val="00FC3D4E"/>
    <w:rsid w:val="00FE0A1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B04214-B200-425D-8538-18432309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Title"/>
    <w:basedOn w:val="a"/>
    <w:link w:val="ae"/>
    <w:uiPriority w:val="99"/>
    <w:qFormat/>
    <w:rsid w:val="003B659A"/>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uiPriority w:val="99"/>
    <w:rsid w:val="003B659A"/>
    <w:rPr>
      <w:b/>
      <w:bCs/>
      <w:szCs w:val="28"/>
      <w:u w:val="single"/>
      <w:shd w:val="pct20" w:color="auto" w:fill="FFFFFF"/>
      <w:lang w:eastAsia="he-IL"/>
    </w:rPr>
  </w:style>
  <w:style w:type="paragraph" w:styleId="af">
    <w:name w:val="List Paragraph"/>
    <w:basedOn w:val="a"/>
    <w:uiPriority w:val="34"/>
    <w:qFormat/>
    <w:rsid w:val="003B659A"/>
    <w:pPr>
      <w:bidi w:val="0"/>
      <w:spacing w:after="160" w:line="256" w:lineRule="auto"/>
      <w:ind w:left="720"/>
      <w:contextualSpacing/>
    </w:pPr>
    <w:rPr>
      <w:rFonts w:asciiTheme="minorHAnsi" w:eastAsiaTheme="minorHAnsi" w:hAnsiTheme="minorHAnsi" w:cstheme="minorBidi"/>
      <w:noProof w:val="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9323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4951</Words>
  <Characters>24758</Characters>
  <Application>Microsoft Office Word</Application>
  <DocSecurity>0</DocSecurity>
  <Lines>206</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2023-10-26T09:02:00Z</dcterms:created>
  <dcterms:modified xsi:type="dcterms:W3CDTF">2023-10-26T09:02:00Z</dcterms:modified>
</cp:coreProperties>
</file>